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5D3" w:rsidRPr="003765D3" w:rsidRDefault="003765D3" w:rsidP="003765D3">
      <w:pPr>
        <w:spacing w:line="240" w:lineRule="auto"/>
        <w:rPr>
          <w:rFonts w:ascii="Arial" w:eastAsia="Times New Roman" w:hAnsi="Arial" w:cs="Arial"/>
          <w:b/>
          <w:bCs/>
        </w:rPr>
      </w:pPr>
      <w:r w:rsidRPr="003765D3">
        <w:rPr>
          <w:rFonts w:ascii="Arial" w:eastAsia="Times New Roman" w:hAnsi="Arial" w:cs="Arial"/>
          <w:b/>
          <w:bCs/>
        </w:rPr>
        <w:t>Immune thrombocytopenia (ITP) in adults: Initial treatment and prognosis</w:t>
      </w:r>
    </w:p>
    <w:p w:rsidR="003765D3" w:rsidRPr="003765D3" w:rsidRDefault="003765D3" w:rsidP="003765D3">
      <w:pPr>
        <w:spacing w:after="0" w:line="264" w:lineRule="atLeast"/>
        <w:ind w:right="795"/>
        <w:rPr>
          <w:rFonts w:ascii="Arial" w:eastAsia="Times New Roman" w:hAnsi="Arial" w:cs="Arial"/>
          <w:color w:val="666666"/>
          <w:sz w:val="20"/>
          <w:szCs w:val="20"/>
        </w:rPr>
      </w:pPr>
      <w:r w:rsidRPr="003765D3">
        <w:rPr>
          <w:rFonts w:ascii="Arial" w:eastAsia="Times New Roman" w:hAnsi="Arial" w:cs="Arial"/>
          <w:color w:val="666666"/>
          <w:sz w:val="20"/>
          <w:szCs w:val="20"/>
        </w:rPr>
        <w:t>Authors:</w:t>
      </w:r>
    </w:p>
    <w:p w:rsidR="003765D3" w:rsidRPr="003765D3" w:rsidRDefault="003765D3" w:rsidP="003765D3">
      <w:pPr>
        <w:spacing w:after="0" w:line="264" w:lineRule="atLeast"/>
        <w:ind w:left="1440"/>
        <w:rPr>
          <w:rFonts w:ascii="Arial" w:eastAsia="Times New Roman" w:hAnsi="Arial" w:cs="Arial"/>
          <w:sz w:val="20"/>
          <w:szCs w:val="20"/>
        </w:rPr>
      </w:pPr>
      <w:hyperlink r:id="rId5" w:history="1">
        <w:r w:rsidRPr="003765D3">
          <w:rPr>
            <w:rFonts w:ascii="Arial" w:eastAsia="Times New Roman" w:hAnsi="Arial" w:cs="Arial"/>
            <w:color w:val="00905A"/>
            <w:sz w:val="20"/>
            <w:szCs w:val="20"/>
            <w:u w:val="single"/>
          </w:rPr>
          <w:t>James N George, MD</w:t>
        </w:r>
      </w:hyperlink>
    </w:p>
    <w:p w:rsidR="003765D3" w:rsidRPr="003765D3" w:rsidRDefault="003765D3" w:rsidP="003765D3">
      <w:pPr>
        <w:spacing w:after="0" w:line="264" w:lineRule="atLeast"/>
        <w:ind w:left="1440"/>
        <w:rPr>
          <w:rFonts w:ascii="Arial" w:eastAsia="Times New Roman" w:hAnsi="Arial" w:cs="Arial"/>
          <w:sz w:val="20"/>
          <w:szCs w:val="20"/>
        </w:rPr>
      </w:pPr>
      <w:hyperlink r:id="rId6" w:history="1">
        <w:r w:rsidRPr="003765D3">
          <w:rPr>
            <w:rFonts w:ascii="Arial" w:eastAsia="Times New Roman" w:hAnsi="Arial" w:cs="Arial"/>
            <w:color w:val="00905A"/>
            <w:sz w:val="20"/>
            <w:szCs w:val="20"/>
            <w:u w:val="single"/>
          </w:rPr>
          <w:t>Donald M Arnold, MD, MSc</w:t>
        </w:r>
      </w:hyperlink>
    </w:p>
    <w:p w:rsidR="003765D3" w:rsidRPr="003765D3" w:rsidRDefault="003765D3" w:rsidP="003765D3">
      <w:pPr>
        <w:spacing w:after="0" w:line="264" w:lineRule="atLeast"/>
        <w:ind w:right="795"/>
        <w:rPr>
          <w:rFonts w:ascii="Arial" w:eastAsia="Times New Roman" w:hAnsi="Arial" w:cs="Arial"/>
          <w:color w:val="666666"/>
          <w:sz w:val="20"/>
          <w:szCs w:val="20"/>
        </w:rPr>
      </w:pPr>
      <w:r w:rsidRPr="003765D3">
        <w:rPr>
          <w:rFonts w:ascii="Arial" w:eastAsia="Times New Roman" w:hAnsi="Arial" w:cs="Arial"/>
          <w:color w:val="666666"/>
          <w:sz w:val="20"/>
          <w:szCs w:val="20"/>
        </w:rPr>
        <w:t>Section Editor:</w:t>
      </w:r>
    </w:p>
    <w:p w:rsidR="003765D3" w:rsidRPr="003765D3" w:rsidRDefault="003765D3" w:rsidP="003765D3">
      <w:pPr>
        <w:spacing w:after="0" w:line="264" w:lineRule="atLeast"/>
        <w:ind w:left="1440"/>
        <w:rPr>
          <w:rFonts w:ascii="Arial" w:eastAsia="Times New Roman" w:hAnsi="Arial" w:cs="Arial"/>
          <w:sz w:val="20"/>
          <w:szCs w:val="20"/>
        </w:rPr>
      </w:pPr>
      <w:hyperlink r:id="rId7" w:history="1">
        <w:r w:rsidRPr="003765D3">
          <w:rPr>
            <w:rFonts w:ascii="Arial" w:eastAsia="Times New Roman" w:hAnsi="Arial" w:cs="Arial"/>
            <w:color w:val="00905A"/>
            <w:sz w:val="20"/>
            <w:szCs w:val="20"/>
            <w:u w:val="single"/>
          </w:rPr>
          <w:t>Lawrence LK Leung, MD</w:t>
        </w:r>
      </w:hyperlink>
    </w:p>
    <w:p w:rsidR="003765D3" w:rsidRPr="003765D3" w:rsidRDefault="003765D3" w:rsidP="003765D3">
      <w:pPr>
        <w:spacing w:after="0" w:line="264" w:lineRule="atLeast"/>
        <w:ind w:right="795"/>
        <w:rPr>
          <w:rFonts w:ascii="Arial" w:eastAsia="Times New Roman" w:hAnsi="Arial" w:cs="Arial"/>
          <w:color w:val="666666"/>
          <w:sz w:val="20"/>
          <w:szCs w:val="20"/>
        </w:rPr>
      </w:pPr>
      <w:r w:rsidRPr="003765D3">
        <w:rPr>
          <w:rFonts w:ascii="Arial" w:eastAsia="Times New Roman" w:hAnsi="Arial" w:cs="Arial"/>
          <w:color w:val="666666"/>
          <w:sz w:val="20"/>
          <w:szCs w:val="20"/>
        </w:rPr>
        <w:t>Deputy Editor:</w:t>
      </w:r>
    </w:p>
    <w:p w:rsidR="003765D3" w:rsidRPr="003765D3" w:rsidRDefault="003765D3" w:rsidP="003765D3">
      <w:pPr>
        <w:spacing w:after="0" w:line="264" w:lineRule="atLeast"/>
        <w:ind w:left="1440"/>
        <w:rPr>
          <w:rFonts w:ascii="Arial" w:eastAsia="Times New Roman" w:hAnsi="Arial" w:cs="Arial"/>
          <w:sz w:val="20"/>
          <w:szCs w:val="20"/>
        </w:rPr>
      </w:pPr>
      <w:hyperlink r:id="rId8" w:history="1">
        <w:r w:rsidRPr="003765D3">
          <w:rPr>
            <w:rFonts w:ascii="Arial" w:eastAsia="Times New Roman" w:hAnsi="Arial" w:cs="Arial"/>
            <w:color w:val="00905A"/>
            <w:sz w:val="20"/>
            <w:szCs w:val="20"/>
            <w:u w:val="single"/>
          </w:rPr>
          <w:t xml:space="preserve">Jennifer S </w:t>
        </w:r>
        <w:proofErr w:type="spellStart"/>
        <w:r w:rsidRPr="003765D3">
          <w:rPr>
            <w:rFonts w:ascii="Arial" w:eastAsia="Times New Roman" w:hAnsi="Arial" w:cs="Arial"/>
            <w:color w:val="00905A"/>
            <w:sz w:val="20"/>
            <w:szCs w:val="20"/>
            <w:u w:val="single"/>
          </w:rPr>
          <w:t>Tirnauer</w:t>
        </w:r>
        <w:proofErr w:type="spellEnd"/>
        <w:r w:rsidRPr="003765D3">
          <w:rPr>
            <w:rFonts w:ascii="Arial" w:eastAsia="Times New Roman" w:hAnsi="Arial" w:cs="Arial"/>
            <w:color w:val="00905A"/>
            <w:sz w:val="20"/>
            <w:szCs w:val="20"/>
            <w:u w:val="single"/>
          </w:rPr>
          <w:t>, MD</w:t>
        </w:r>
      </w:hyperlink>
    </w:p>
    <w:p w:rsidR="003765D3" w:rsidRPr="003765D3" w:rsidRDefault="003765D3" w:rsidP="003765D3">
      <w:pPr>
        <w:spacing w:before="216" w:after="216" w:line="272" w:lineRule="atLeast"/>
        <w:rPr>
          <w:rFonts w:ascii="Arial" w:eastAsia="Times New Roman" w:hAnsi="Arial" w:cs="Arial"/>
          <w:sz w:val="20"/>
          <w:szCs w:val="20"/>
        </w:rPr>
      </w:pPr>
      <w:hyperlink r:id="rId9" w:history="1">
        <w:r w:rsidRPr="003765D3">
          <w:rPr>
            <w:rFonts w:ascii="Arial" w:eastAsia="Times New Roman" w:hAnsi="Arial" w:cs="Arial"/>
            <w:color w:val="00905A"/>
            <w:sz w:val="20"/>
            <w:szCs w:val="20"/>
            <w:u w:val="single"/>
          </w:rPr>
          <w:t>Contributor Disclosures</w:t>
        </w:r>
      </w:hyperlink>
    </w:p>
    <w:p w:rsidR="003765D3" w:rsidRPr="003765D3" w:rsidRDefault="003765D3" w:rsidP="003765D3">
      <w:pPr>
        <w:spacing w:after="0" w:line="240" w:lineRule="auto"/>
        <w:rPr>
          <w:rFonts w:ascii="Arial" w:eastAsia="Times New Roman" w:hAnsi="Arial" w:cs="Arial"/>
        </w:rPr>
      </w:pPr>
      <w:r w:rsidRPr="003765D3">
        <w:rPr>
          <w:rFonts w:ascii="Arial" w:eastAsia="Times New Roman" w:hAnsi="Arial" w:cs="Arial"/>
        </w:rPr>
        <w:t>All topics are updated as new evidence becomes available and our </w:t>
      </w:r>
      <w:hyperlink r:id="rId10" w:tgtFrame="_blank" w:history="1">
        <w:r w:rsidRPr="003765D3">
          <w:rPr>
            <w:rFonts w:ascii="Arial" w:eastAsia="Times New Roman" w:hAnsi="Arial" w:cs="Arial"/>
            <w:color w:val="00905A"/>
            <w:u w:val="single"/>
          </w:rPr>
          <w:t>peer review process</w:t>
        </w:r>
      </w:hyperlink>
      <w:r w:rsidRPr="003765D3">
        <w:rPr>
          <w:rFonts w:ascii="Arial" w:eastAsia="Times New Roman" w:hAnsi="Arial" w:cs="Arial"/>
        </w:rPr>
        <w:t> is complete.</w:t>
      </w:r>
    </w:p>
    <w:p w:rsidR="003765D3" w:rsidRPr="003765D3" w:rsidRDefault="003765D3" w:rsidP="003765D3">
      <w:pPr>
        <w:spacing w:after="120" w:line="240" w:lineRule="auto"/>
        <w:rPr>
          <w:rFonts w:ascii="Arial" w:eastAsia="Times New Roman" w:hAnsi="Arial" w:cs="Arial"/>
        </w:rPr>
      </w:pPr>
      <w:r w:rsidRPr="003765D3">
        <w:rPr>
          <w:rFonts w:ascii="Arial" w:eastAsia="Times New Roman" w:hAnsi="Arial" w:cs="Arial"/>
          <w:b/>
          <w:bCs/>
        </w:rPr>
        <w:t>Literature review current through:</w:t>
      </w:r>
      <w:r w:rsidRPr="003765D3">
        <w:rPr>
          <w:rFonts w:ascii="Arial" w:eastAsia="Times New Roman" w:hAnsi="Arial" w:cs="Arial"/>
        </w:rPr>
        <w:t> Oct 2017. | </w:t>
      </w:r>
      <w:r w:rsidRPr="003765D3">
        <w:rPr>
          <w:rFonts w:ascii="Arial" w:eastAsia="Times New Roman" w:hAnsi="Arial" w:cs="Arial"/>
          <w:b/>
          <w:bCs/>
        </w:rPr>
        <w:t>This topic last updated:</w:t>
      </w:r>
      <w:r w:rsidRPr="003765D3">
        <w:rPr>
          <w:rFonts w:ascii="Arial" w:eastAsia="Times New Roman" w:hAnsi="Arial" w:cs="Arial"/>
        </w:rPr>
        <w:t> Nov 09, 2016.</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INTRODUCTION</w:t>
      </w:r>
      <w:r w:rsidRPr="003765D3">
        <w:rPr>
          <w:rFonts w:ascii="Arial" w:eastAsia="Times New Roman" w:hAnsi="Arial" w:cs="Arial"/>
        </w:rPr>
        <w:t> — Immune thrombocytopenia (ITP) is an acquired form of thrombocytopenia due to autoantibody-mediated destruction of platelets. The autoantibodies also affect megakaryocytes and impair platelet production. ITP is a diagnosis of exclusion, characterized by isolated thrombocytopenia and the lack of a clinically-apparent condition responsible for the low platelet count; there are no reliable laboratory tests to confirm the diagnosis. (See </w:t>
      </w:r>
      <w:hyperlink r:id="rId11" w:history="1">
        <w:r w:rsidRPr="003765D3">
          <w:rPr>
            <w:rFonts w:ascii="Arial" w:eastAsia="Times New Roman" w:hAnsi="Arial" w:cs="Arial"/>
            <w:color w:val="00905A"/>
            <w:u w:val="single"/>
          </w:rPr>
          <w:t>"Immune thrombocytopenia (ITP) in adults: Clinical manifestations and diagnosis"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The major initial decisions regarding treatment are whether the patient needs any therapy, and if so, which therapy to use. These decisions can be challenging because the goal of treatment is to prevent severe bleeding, but the risk of bleeding can be difficult to estimate for any individual patient. Severe bleeding is rare, and patients may be more likely to develop complications from the toxicities of therapy than they are to have severe bleeding.</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The initial treatment and prognosis of ITP in adults is reviewed here. Second--line therapies for adults who require additional treatment, and the management of ITP in children, who have a different clinical course from adults, are discussed separately. (See </w:t>
      </w:r>
      <w:hyperlink r:id="rId12" w:history="1">
        <w:r w:rsidRPr="003765D3">
          <w:rPr>
            <w:rFonts w:ascii="Arial" w:eastAsia="Times New Roman" w:hAnsi="Arial" w:cs="Arial"/>
            <w:color w:val="00905A"/>
            <w:u w:val="single"/>
          </w:rPr>
          <w:t>"Immune thrombocytopenia (ITP) in adults: Second-line and subsequent therapies"</w:t>
        </w:r>
      </w:hyperlink>
      <w:r w:rsidRPr="003765D3">
        <w:rPr>
          <w:rFonts w:ascii="Arial" w:eastAsia="Times New Roman" w:hAnsi="Arial" w:cs="Arial"/>
        </w:rPr>
        <w:t> and </w:t>
      </w:r>
      <w:hyperlink r:id="rId13" w:history="1">
        <w:r w:rsidRPr="003765D3">
          <w:rPr>
            <w:rFonts w:ascii="Arial" w:eastAsia="Times New Roman" w:hAnsi="Arial" w:cs="Arial"/>
            <w:color w:val="00905A"/>
            <w:u w:val="single"/>
          </w:rPr>
          <w:t>"Immune thrombocytopenia (ITP) in children: Initial management"</w:t>
        </w:r>
      </w:hyperlink>
      <w:r w:rsidRPr="003765D3">
        <w:rPr>
          <w:rFonts w:ascii="Arial" w:eastAsia="Times New Roman" w:hAnsi="Arial" w:cs="Arial"/>
        </w:rPr>
        <w:t> and </w:t>
      </w:r>
      <w:hyperlink r:id="rId14" w:history="1">
        <w:r w:rsidRPr="003765D3">
          <w:rPr>
            <w:rFonts w:ascii="Arial" w:eastAsia="Times New Roman" w:hAnsi="Arial" w:cs="Arial"/>
            <w:color w:val="00905A"/>
            <w:u w:val="single"/>
          </w:rPr>
          <w:t>"Immune thrombocytopenia (ITP) in children: Management of chronic disease"</w:t>
        </w:r>
      </w:hyperlink>
      <w:r w:rsidRPr="003765D3">
        <w:rPr>
          <w:rFonts w:ascii="Arial" w:eastAsia="Times New Roman" w:hAnsi="Arial" w:cs="Arial"/>
        </w:rPr>
        <w:t>.)  </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TERMINOLOGY</w:t>
      </w:r>
      <w:r w:rsidRPr="003765D3">
        <w:rPr>
          <w:rFonts w:ascii="Arial" w:eastAsia="Times New Roman" w:hAnsi="Arial" w:cs="Arial"/>
        </w:rPr>
        <w:t> — </w:t>
      </w:r>
      <w:proofErr w:type="gramStart"/>
      <w:r w:rsidRPr="003765D3">
        <w:rPr>
          <w:rFonts w:ascii="Arial" w:eastAsia="Times New Roman" w:hAnsi="Arial" w:cs="Arial"/>
        </w:rPr>
        <w:t>We</w:t>
      </w:r>
      <w:proofErr w:type="gramEnd"/>
      <w:r w:rsidRPr="003765D3">
        <w:rPr>
          <w:rFonts w:ascii="Arial" w:eastAsia="Times New Roman" w:hAnsi="Arial" w:cs="Arial"/>
        </w:rPr>
        <w:t xml:space="preserve"> use the following terms herein; this terminology is consistent with a consensus statement from an international working group on ITP published in 2009 [</w:t>
      </w:r>
      <w:hyperlink r:id="rId15" w:history="1">
        <w:r w:rsidRPr="003765D3">
          <w:rPr>
            <w:rFonts w:ascii="Arial" w:eastAsia="Times New Roman" w:hAnsi="Arial" w:cs="Arial"/>
            <w:color w:val="00905A"/>
            <w:u w:val="single"/>
          </w:rPr>
          <w:t>1</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Primary ITP</w:t>
      </w:r>
      <w:r w:rsidRPr="003765D3">
        <w:rPr>
          <w:rFonts w:ascii="Arial" w:eastAsia="Times New Roman" w:hAnsi="Arial" w:cs="Arial"/>
        </w:rPr>
        <w:t> – Primary ITP is acquired thrombocytopenia due to autoimmune platelet destruction, not triggered by an associated condition. (See </w:t>
      </w:r>
      <w:hyperlink r:id="rId16" w:history="1">
        <w:r w:rsidRPr="003765D3">
          <w:rPr>
            <w:rFonts w:ascii="Arial" w:eastAsia="Times New Roman" w:hAnsi="Arial" w:cs="Arial"/>
            <w:color w:val="00905A"/>
            <w:u w:val="single"/>
          </w:rPr>
          <w:t>"Immune thrombocytopenia (ITP) in adults: Clinical manifestations and diagnosis"</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Secondary ITP</w:t>
      </w:r>
      <w:r w:rsidRPr="003765D3">
        <w:rPr>
          <w:rFonts w:ascii="Arial" w:eastAsia="Times New Roman" w:hAnsi="Arial" w:cs="Arial"/>
        </w:rPr>
        <w:t> – Secondary ITP is ITP associated with another condition (</w:t>
      </w:r>
      <w:proofErr w:type="spellStart"/>
      <w:r w:rsidRPr="003765D3">
        <w:rPr>
          <w:rFonts w:ascii="Arial" w:eastAsia="Times New Roman" w:hAnsi="Arial" w:cs="Arial"/>
        </w:rPr>
        <w:t>eg</w:t>
      </w:r>
      <w:proofErr w:type="spellEnd"/>
      <w:r w:rsidRPr="003765D3">
        <w:rPr>
          <w:rFonts w:ascii="Arial" w:eastAsia="Times New Roman" w:hAnsi="Arial" w:cs="Arial"/>
        </w:rPr>
        <w:t xml:space="preserve">, human immunodeficiency virus [HIV], hepatitis C virus [HCV], systemic lupus erythematosus [SLE], chronic lymphocytic leukemia [CLL]). By convention, the </w:t>
      </w:r>
      <w:r w:rsidRPr="003765D3">
        <w:rPr>
          <w:rFonts w:ascii="Arial" w:eastAsia="Times New Roman" w:hAnsi="Arial" w:cs="Arial"/>
        </w:rPr>
        <w:lastRenderedPageBreak/>
        <w:t>associated condition is noted in parenthesis, as in "secondary ITP (lupus-associated)."</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Drug-induced immune thrombocytopenia</w:t>
      </w:r>
      <w:r w:rsidRPr="003765D3">
        <w:rPr>
          <w:rFonts w:ascii="Arial" w:eastAsia="Times New Roman" w:hAnsi="Arial" w:cs="Arial"/>
        </w:rPr>
        <w:t> – Drug-induced immune thrombocytopenia (DITP) is a drug reaction due to drug-dependent platelet antibodies that cause platelet destruction. This syndrome should be distinguished from drug-induced bone marrow suppression, a non-immune phenomenon (</w:t>
      </w:r>
      <w:hyperlink r:id="rId17" w:history="1">
        <w:r w:rsidRPr="003765D3">
          <w:rPr>
            <w:rFonts w:ascii="Arial" w:eastAsia="Times New Roman" w:hAnsi="Arial" w:cs="Arial"/>
            <w:color w:val="00905A"/>
            <w:u w:val="single"/>
          </w:rPr>
          <w:t>table 1</w:t>
        </w:r>
      </w:hyperlink>
      <w:r w:rsidRPr="003765D3">
        <w:rPr>
          <w:rFonts w:ascii="Arial" w:eastAsia="Times New Roman" w:hAnsi="Arial" w:cs="Arial"/>
        </w:rPr>
        <w:t>). (See </w:t>
      </w:r>
      <w:hyperlink r:id="rId18" w:history="1">
        <w:r w:rsidRPr="003765D3">
          <w:rPr>
            <w:rFonts w:ascii="Arial" w:eastAsia="Times New Roman" w:hAnsi="Arial" w:cs="Arial"/>
            <w:color w:val="00905A"/>
            <w:u w:val="single"/>
          </w:rPr>
          <w:t>"Drug-induced immune thrombocytopenia"</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The time elapsed since diagnosis determines whether ITP is referred to as newly diagnosed, persistent, or chronic.</w:t>
      </w:r>
    </w:p>
    <w:p w:rsidR="003765D3" w:rsidRPr="003765D3" w:rsidRDefault="003765D3" w:rsidP="003765D3">
      <w:pPr>
        <w:spacing w:before="30" w:after="30" w:line="302" w:lineRule="atLeast"/>
        <w:ind w:left="168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Newly diagnosed</w:t>
      </w:r>
      <w:r w:rsidRPr="003765D3">
        <w:rPr>
          <w:rFonts w:ascii="Arial" w:eastAsia="Times New Roman" w:hAnsi="Arial" w:cs="Arial"/>
        </w:rPr>
        <w:t> – Up to three months since diagnosis</w:t>
      </w:r>
    </w:p>
    <w:p w:rsidR="003765D3" w:rsidRPr="003765D3" w:rsidRDefault="003765D3" w:rsidP="003765D3">
      <w:pPr>
        <w:spacing w:before="30" w:after="30" w:line="302" w:lineRule="atLeast"/>
        <w:ind w:left="168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Persistent</w:t>
      </w:r>
      <w:r w:rsidRPr="003765D3">
        <w:rPr>
          <w:rFonts w:ascii="Arial" w:eastAsia="Times New Roman" w:hAnsi="Arial" w:cs="Arial"/>
        </w:rPr>
        <w:t> – 3 to 12 months since diagnosis</w:t>
      </w:r>
    </w:p>
    <w:p w:rsidR="003765D3" w:rsidRPr="003765D3" w:rsidRDefault="003765D3" w:rsidP="003765D3">
      <w:pPr>
        <w:spacing w:before="30" w:after="30" w:line="302" w:lineRule="atLeast"/>
        <w:ind w:left="168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Chronic</w:t>
      </w:r>
      <w:r w:rsidRPr="003765D3">
        <w:rPr>
          <w:rFonts w:ascii="Arial" w:eastAsia="Times New Roman" w:hAnsi="Arial" w:cs="Arial"/>
        </w:rPr>
        <w:t> – More than 12 months since diagnosis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Severe ITP</w:t>
      </w:r>
      <w:r w:rsidRPr="003765D3">
        <w:rPr>
          <w:rFonts w:ascii="Arial" w:eastAsia="Times New Roman" w:hAnsi="Arial" w:cs="Arial"/>
        </w:rPr>
        <w:t> – Severe ITP refers to ITP with bleeding symptoms sufficient to mandate treatment; this typically occurs when platelet counts are below 20,000/</w:t>
      </w:r>
      <w:proofErr w:type="spellStart"/>
      <w:r w:rsidRPr="003765D3">
        <w:rPr>
          <w:rFonts w:ascii="Arial" w:eastAsia="Times New Roman" w:hAnsi="Arial" w:cs="Arial"/>
        </w:rPr>
        <w:t>microL</w:t>
      </w:r>
      <w:proofErr w:type="spellEnd"/>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Refractory ITP</w:t>
      </w:r>
      <w:r w:rsidRPr="003765D3">
        <w:rPr>
          <w:rFonts w:ascii="Arial" w:eastAsia="Times New Roman" w:hAnsi="Arial" w:cs="Arial"/>
        </w:rPr>
        <w:t> – Refractory ITP refers to ITP that has failed to respond to (or relapsed after) splenectomy and is severe (</w:t>
      </w:r>
      <w:proofErr w:type="spellStart"/>
      <w:r w:rsidRPr="003765D3">
        <w:rPr>
          <w:rFonts w:ascii="Arial" w:eastAsia="Times New Roman" w:hAnsi="Arial" w:cs="Arial"/>
        </w:rPr>
        <w:t>ie</w:t>
      </w:r>
      <w:proofErr w:type="spellEnd"/>
      <w:r w:rsidRPr="003765D3">
        <w:rPr>
          <w:rFonts w:ascii="Arial" w:eastAsia="Times New Roman" w:hAnsi="Arial" w:cs="Arial"/>
        </w:rPr>
        <w:t>, associated with bleeding or bleeding risk that requires therapy). Management of refractory ITP is discussed separately. (See </w:t>
      </w:r>
      <w:hyperlink r:id="rId19" w:history="1">
        <w:r w:rsidRPr="003765D3">
          <w:rPr>
            <w:rFonts w:ascii="Arial" w:eastAsia="Times New Roman" w:hAnsi="Arial" w:cs="Arial"/>
            <w:color w:val="00905A"/>
            <w:u w:val="single"/>
          </w:rPr>
          <w:t>"Immune thrombocytopenia (ITP) in adults: Second-line and subsequent therapies"</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Responses to ITP therapy can be defined as follows:</w:t>
      </w:r>
    </w:p>
    <w:p w:rsidR="003765D3" w:rsidRPr="003765D3" w:rsidRDefault="003765D3" w:rsidP="003765D3">
      <w:pPr>
        <w:spacing w:before="30" w:after="30" w:line="302" w:lineRule="atLeast"/>
        <w:ind w:left="168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Response</w:t>
      </w:r>
      <w:r w:rsidRPr="003765D3">
        <w:rPr>
          <w:rFonts w:ascii="Arial" w:eastAsia="Times New Roman" w:hAnsi="Arial" w:cs="Arial"/>
        </w:rPr>
        <w:t> – A response is defined as a platelet count above 30,000/</w:t>
      </w:r>
      <w:proofErr w:type="spellStart"/>
      <w:r w:rsidRPr="003765D3">
        <w:rPr>
          <w:rFonts w:ascii="Arial" w:eastAsia="Times New Roman" w:hAnsi="Arial" w:cs="Arial"/>
        </w:rPr>
        <w:t>microL</w:t>
      </w:r>
      <w:proofErr w:type="spellEnd"/>
      <w:r w:rsidRPr="003765D3">
        <w:rPr>
          <w:rFonts w:ascii="Arial" w:eastAsia="Times New Roman" w:hAnsi="Arial" w:cs="Arial"/>
        </w:rPr>
        <w:t> </w:t>
      </w:r>
      <w:r w:rsidRPr="003765D3">
        <w:rPr>
          <w:rFonts w:ascii="Arial" w:eastAsia="Times New Roman" w:hAnsi="Arial" w:cs="Arial"/>
          <w:b/>
          <w:bCs/>
        </w:rPr>
        <w:t>and</w:t>
      </w:r>
      <w:r w:rsidRPr="003765D3">
        <w:rPr>
          <w:rFonts w:ascii="Arial" w:eastAsia="Times New Roman" w:hAnsi="Arial" w:cs="Arial"/>
        </w:rPr>
        <w:t> at least doubling of the baseline platelet count.</w:t>
      </w:r>
    </w:p>
    <w:p w:rsidR="003765D3" w:rsidRPr="003765D3" w:rsidRDefault="003765D3" w:rsidP="003765D3">
      <w:pPr>
        <w:spacing w:before="30" w:after="30" w:line="302" w:lineRule="atLeast"/>
        <w:ind w:left="168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Complete response</w:t>
      </w:r>
      <w:r w:rsidRPr="003765D3">
        <w:rPr>
          <w:rFonts w:ascii="Arial" w:eastAsia="Times New Roman" w:hAnsi="Arial" w:cs="Arial"/>
        </w:rPr>
        <w:t> – A complete response is defined as a platelet count ≥100,000/</w:t>
      </w:r>
      <w:proofErr w:type="spellStart"/>
      <w:r w:rsidRPr="003765D3">
        <w:rPr>
          <w:rFonts w:ascii="Arial" w:eastAsia="Times New Roman" w:hAnsi="Arial" w:cs="Arial"/>
        </w:rPr>
        <w:t>microL</w:t>
      </w:r>
      <w:proofErr w:type="spellEnd"/>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Arial" w:eastAsia="Times New Roman" w:hAnsi="Arial" w:cs="Arial"/>
        </w:rPr>
        <w:t>However, different studies, including studies published before the consensus terminology was developed, have used different thresholds.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Other names for ITP</w:t>
      </w:r>
      <w:r w:rsidRPr="003765D3">
        <w:rPr>
          <w:rFonts w:ascii="Arial" w:eastAsia="Times New Roman" w:hAnsi="Arial" w:cs="Arial"/>
        </w:rPr>
        <w:t> – ITP has previously been called idiopathic thrombocytopenic purpura, immune thrombocytopenic purpura, or autoimmune thrombocytopenic purpura (AITP). These terms have been replaced by immune thrombocytopenia to reflect the known autoantibody mechanism and absence of purpura in some patients.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First-line versus second-line therapy</w:t>
      </w:r>
      <w:r w:rsidRPr="003765D3">
        <w:rPr>
          <w:rFonts w:ascii="Arial" w:eastAsia="Times New Roman" w:hAnsi="Arial" w:cs="Arial"/>
        </w:rPr>
        <w:t> – We use "first-line" to refer to glucocorticoids and intravenous </w:t>
      </w:r>
      <w:hyperlink r:id="rId20" w:history="1">
        <w:r w:rsidRPr="003765D3">
          <w:rPr>
            <w:rFonts w:ascii="Arial" w:eastAsia="Times New Roman" w:hAnsi="Arial" w:cs="Arial"/>
            <w:color w:val="00905A"/>
            <w:u w:val="single"/>
          </w:rPr>
          <w:t>immune globulin</w:t>
        </w:r>
      </w:hyperlink>
      <w:r w:rsidRPr="003765D3">
        <w:rPr>
          <w:rFonts w:ascii="Arial" w:eastAsia="Times New Roman" w:hAnsi="Arial" w:cs="Arial"/>
        </w:rPr>
        <w:t> (IVIG) because they are generally used for initial treatment of newly diagnosed patients. Historically, second-line therapy meant splenectomy. However, the availability of </w:t>
      </w:r>
      <w:hyperlink r:id="rId21" w:history="1">
        <w:r w:rsidRPr="003765D3">
          <w:rPr>
            <w:rFonts w:ascii="Arial" w:eastAsia="Times New Roman" w:hAnsi="Arial" w:cs="Arial"/>
            <w:color w:val="00905A"/>
            <w:u w:val="single"/>
          </w:rPr>
          <w:t>rituximab</w:t>
        </w:r>
      </w:hyperlink>
      <w:r w:rsidRPr="003765D3">
        <w:rPr>
          <w:rFonts w:ascii="Arial" w:eastAsia="Times New Roman" w:hAnsi="Arial" w:cs="Arial"/>
        </w:rPr>
        <w:t xml:space="preserve"> has expanded the second-line options. </w:t>
      </w:r>
      <w:proofErr w:type="spellStart"/>
      <w:r w:rsidRPr="003765D3">
        <w:rPr>
          <w:rFonts w:ascii="Arial" w:eastAsia="Times New Roman" w:hAnsi="Arial" w:cs="Arial"/>
        </w:rPr>
        <w:t>Thrombopoietin</w:t>
      </w:r>
      <w:proofErr w:type="spellEnd"/>
      <w:r w:rsidRPr="003765D3">
        <w:rPr>
          <w:rFonts w:ascii="Arial" w:eastAsia="Times New Roman" w:hAnsi="Arial" w:cs="Arial"/>
        </w:rPr>
        <w:t xml:space="preserve"> receptor agonists are useful if second-line agents fail, or they may be considered another second line therapy option. Most patients will be treated sequentially with a period of observation if possible, followed by first-line, second-line, and, if needed, other therapies, until a safe platelet count </w:t>
      </w:r>
      <w:r w:rsidRPr="003765D3">
        <w:rPr>
          <w:rFonts w:ascii="Arial" w:eastAsia="Times New Roman" w:hAnsi="Arial" w:cs="Arial"/>
        </w:rPr>
        <w:lastRenderedPageBreak/>
        <w:t>is achieved. (See </w:t>
      </w:r>
      <w:hyperlink r:id="rId22" w:history="1">
        <w:r w:rsidRPr="003765D3">
          <w:rPr>
            <w:rFonts w:ascii="Arial" w:eastAsia="Times New Roman" w:hAnsi="Arial" w:cs="Arial"/>
            <w:color w:val="00905A"/>
            <w:u w:val="single"/>
          </w:rPr>
          <w:t>"Immune thrombocytopenia (ITP) in adults: Second-line and subsequent therapies"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OVERVIEW OF OUR APPROACH</w:t>
      </w:r>
      <w:r w:rsidRPr="003765D3">
        <w:rPr>
          <w:rFonts w:ascii="Arial" w:eastAsia="Times New Roman" w:hAnsi="Arial" w:cs="Arial"/>
        </w:rPr>
        <w:t> — </w:t>
      </w:r>
      <w:proofErr w:type="gramStart"/>
      <w:r w:rsidRPr="003765D3">
        <w:rPr>
          <w:rFonts w:ascii="Arial" w:eastAsia="Times New Roman" w:hAnsi="Arial" w:cs="Arial"/>
        </w:rPr>
        <w:t>The</w:t>
      </w:r>
      <w:proofErr w:type="gramEnd"/>
      <w:r w:rsidRPr="003765D3">
        <w:rPr>
          <w:rFonts w:ascii="Arial" w:eastAsia="Times New Roman" w:hAnsi="Arial" w:cs="Arial"/>
        </w:rPr>
        <w:t xml:space="preserve"> goal of ITP therapy is to reduce the risk of clinically important bleeding; thus, many patients do not require interventions to increase the platelet count. The need for intervention is guided by bleeding symptoms and the platelet count (</w:t>
      </w:r>
      <w:proofErr w:type="spellStart"/>
      <w:r w:rsidRPr="003765D3">
        <w:rPr>
          <w:rFonts w:ascii="Arial" w:eastAsia="Times New Roman" w:hAnsi="Arial" w:cs="Arial"/>
        </w:rPr>
        <w:t>ie</w:t>
      </w:r>
      <w:proofErr w:type="spellEnd"/>
      <w:r w:rsidRPr="003765D3">
        <w:rPr>
          <w:rFonts w:ascii="Arial" w:eastAsia="Times New Roman" w:hAnsi="Arial" w:cs="Arial"/>
        </w:rPr>
        <w:t>, whether it is low enough to confer severe bleeding risk). The choice of therapy depends on how rapidly the platelet count needs to be raised and the differing toxicity profiles of available therapies.</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Indications for treatment</w:t>
      </w:r>
      <w:r w:rsidRPr="003765D3">
        <w:rPr>
          <w:rFonts w:ascii="Arial" w:eastAsia="Times New Roman" w:hAnsi="Arial" w:cs="Arial"/>
        </w:rPr>
        <w:t> — </w:t>
      </w:r>
      <w:proofErr w:type="gramStart"/>
      <w:r w:rsidRPr="003765D3">
        <w:rPr>
          <w:rFonts w:ascii="Arial" w:eastAsia="Times New Roman" w:hAnsi="Arial" w:cs="Arial"/>
        </w:rPr>
        <w:t>The</w:t>
      </w:r>
      <w:proofErr w:type="gramEnd"/>
      <w:r w:rsidRPr="003765D3">
        <w:rPr>
          <w:rFonts w:ascii="Arial" w:eastAsia="Times New Roman" w:hAnsi="Arial" w:cs="Arial"/>
        </w:rPr>
        <w:t xml:space="preserve"> goal of ITP treatment is to provide a safe platelet count to prevent clinically important bleeding, rather than to normalize the platelet count [</w:t>
      </w:r>
      <w:hyperlink r:id="rId23" w:history="1">
        <w:r w:rsidRPr="003765D3">
          <w:rPr>
            <w:rFonts w:ascii="Arial" w:eastAsia="Times New Roman" w:hAnsi="Arial" w:cs="Arial"/>
            <w:color w:val="00905A"/>
            <w:u w:val="single"/>
          </w:rPr>
          <w:t>1-4</w:t>
        </w:r>
      </w:hyperlink>
      <w:r w:rsidRPr="003765D3">
        <w:rPr>
          <w:rFonts w:ascii="Arial" w:eastAsia="Times New Roman" w:hAnsi="Arial" w:cs="Arial"/>
        </w:rPr>
        <w:t>]. Clinically important bleeding is often defined as bleeding that requires medical attention. It may range in severity from life-threatening intracerebral hemorrhage to symptoms such as frequent nosebleeds that do not stop with local hemostatic measures, severe menorrhagia that requires hormonal intervention, or oral mucosal blood blisters that may signify greater risk for clinically important bleeding.</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The overall risk of bleeding in ITP is low; it is greatest in individuals with platelet counts less than 10,000/</w:t>
      </w:r>
      <w:proofErr w:type="spellStart"/>
      <w:r w:rsidRPr="003765D3">
        <w:rPr>
          <w:rFonts w:ascii="Arial" w:eastAsia="Times New Roman" w:hAnsi="Arial" w:cs="Arial"/>
        </w:rPr>
        <w:t>microL</w:t>
      </w:r>
      <w:proofErr w:type="spellEnd"/>
      <w:r w:rsidRPr="003765D3">
        <w:rPr>
          <w:rFonts w:ascii="Arial" w:eastAsia="Times New Roman" w:hAnsi="Arial" w:cs="Arial"/>
        </w:rPr>
        <w:t>. However, the correlation between platelet count and bleeding risk is weak even in patients with severely low platelet counts (</w:t>
      </w:r>
      <w:proofErr w:type="spellStart"/>
      <w:r w:rsidRPr="003765D3">
        <w:rPr>
          <w:rFonts w:ascii="Arial" w:eastAsia="Times New Roman" w:hAnsi="Arial" w:cs="Arial"/>
        </w:rPr>
        <w:t>eg</w:t>
      </w:r>
      <w:proofErr w:type="spellEnd"/>
      <w:r w:rsidRPr="003765D3">
        <w:rPr>
          <w:rFonts w:ascii="Arial" w:eastAsia="Times New Roman" w:hAnsi="Arial" w:cs="Arial"/>
        </w:rPr>
        <w:t>, &lt;30,000/</w:t>
      </w:r>
      <w:proofErr w:type="spellStart"/>
      <w:r w:rsidRPr="003765D3">
        <w:rPr>
          <w:rFonts w:ascii="Arial" w:eastAsia="Times New Roman" w:hAnsi="Arial" w:cs="Arial"/>
        </w:rPr>
        <w:t>microL</w:t>
      </w:r>
      <w:proofErr w:type="spellEnd"/>
      <w:r w:rsidRPr="003765D3">
        <w:rPr>
          <w:rFonts w:ascii="Arial" w:eastAsia="Times New Roman" w:hAnsi="Arial" w:cs="Arial"/>
        </w:rPr>
        <w:t>). Life-threatening bleeding is rare, but hemorrhagic deaths have been reported. Sites of severe bleeding include intracerebral and gastrointestinal, and a variety of mucosal surfaces (</w:t>
      </w:r>
      <w:proofErr w:type="spellStart"/>
      <w:r w:rsidRPr="003765D3">
        <w:rPr>
          <w:rFonts w:ascii="Arial" w:eastAsia="Times New Roman" w:hAnsi="Arial" w:cs="Arial"/>
        </w:rPr>
        <w:t>eg</w:t>
      </w:r>
      <w:proofErr w:type="spellEnd"/>
      <w:r w:rsidRPr="003765D3">
        <w:rPr>
          <w:rFonts w:ascii="Arial" w:eastAsia="Times New Roman" w:hAnsi="Arial" w:cs="Arial"/>
        </w:rPr>
        <w:t>, lung, genitourinary tract) [</w:t>
      </w:r>
      <w:hyperlink r:id="rId24" w:history="1">
        <w:r w:rsidRPr="003765D3">
          <w:rPr>
            <w:rFonts w:ascii="Arial" w:eastAsia="Times New Roman" w:hAnsi="Arial" w:cs="Arial"/>
            <w:color w:val="00905A"/>
            <w:u w:val="single"/>
          </w:rPr>
          <w:t>5</w:t>
        </w:r>
      </w:hyperlink>
      <w:r w:rsidRPr="003765D3">
        <w:rPr>
          <w:rFonts w:ascii="Arial" w:eastAsia="Times New Roman" w:hAnsi="Arial" w:cs="Arial"/>
        </w:rPr>
        <w:t>]. (See </w:t>
      </w:r>
      <w:hyperlink r:id="rId25" w:anchor="H28169821" w:history="1">
        <w:r w:rsidRPr="003765D3">
          <w:rPr>
            <w:rFonts w:ascii="Arial" w:eastAsia="Times New Roman" w:hAnsi="Arial" w:cs="Arial"/>
            <w:color w:val="00905A"/>
            <w:u w:val="single"/>
          </w:rPr>
          <w:t>'Treatment of bleeding'</w:t>
        </w:r>
      </w:hyperlink>
      <w:r w:rsidRPr="003765D3">
        <w:rPr>
          <w:rFonts w:ascii="Arial" w:eastAsia="Times New Roman" w:hAnsi="Arial" w:cs="Arial"/>
        </w:rPr>
        <w:t> below and </w:t>
      </w:r>
      <w:hyperlink r:id="rId26" w:anchor="H29" w:history="1">
        <w:r w:rsidRPr="003765D3">
          <w:rPr>
            <w:rFonts w:ascii="Arial" w:eastAsia="Times New Roman" w:hAnsi="Arial" w:cs="Arial"/>
            <w:color w:val="00905A"/>
            <w:u w:val="single"/>
          </w:rPr>
          <w:t>'Mortality'</w:t>
        </w:r>
      </w:hyperlink>
      <w:r w:rsidRPr="003765D3">
        <w:rPr>
          <w:rFonts w:ascii="Arial" w:eastAsia="Times New Roman" w:hAnsi="Arial" w:cs="Arial"/>
        </w:rPr>
        <w:t> below.)</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Factors that increase the bleeding risk include a history of prior bleeding and older age. The role of these factors was illustrated in a series of 117 adults that found severe bleeding rates in individuals &lt;40, 40 to 60, and &gt;60 years of age of 0.4, 1.1, and 10.4 percent per patient per year, respectively [</w:t>
      </w:r>
      <w:hyperlink r:id="rId27" w:history="1">
        <w:r w:rsidRPr="003765D3">
          <w:rPr>
            <w:rFonts w:ascii="Arial" w:eastAsia="Times New Roman" w:hAnsi="Arial" w:cs="Arial"/>
            <w:color w:val="00905A"/>
            <w:u w:val="single"/>
          </w:rPr>
          <w:t>5</w:t>
        </w:r>
      </w:hyperlink>
      <w:r w:rsidRPr="003765D3">
        <w:rPr>
          <w:rFonts w:ascii="Arial" w:eastAsia="Times New Roman" w:hAnsi="Arial" w:cs="Arial"/>
        </w:rPr>
        <w:t>]. A previous bleeding event conferred a relative risk of bleeding of 27.5 [</w:t>
      </w:r>
      <w:hyperlink r:id="rId28" w:history="1">
        <w:r w:rsidRPr="003765D3">
          <w:rPr>
            <w:rFonts w:ascii="Arial" w:eastAsia="Times New Roman" w:hAnsi="Arial" w:cs="Arial"/>
            <w:color w:val="00905A"/>
            <w:u w:val="single"/>
          </w:rPr>
          <w:t>5</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The following summarizes our approach to initiating therapy (</w:t>
      </w:r>
      <w:hyperlink r:id="rId29" w:history="1">
        <w:r w:rsidRPr="003765D3">
          <w:rPr>
            <w:rFonts w:ascii="Arial" w:eastAsia="Times New Roman" w:hAnsi="Arial" w:cs="Arial"/>
            <w:color w:val="00905A"/>
            <w:u w:val="single"/>
          </w:rPr>
          <w:t>algorithm 1</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For all patients with severe bleeding (</w:t>
      </w:r>
      <w:proofErr w:type="spellStart"/>
      <w:r w:rsidRPr="003765D3">
        <w:rPr>
          <w:rFonts w:ascii="Arial" w:eastAsia="Times New Roman" w:hAnsi="Arial" w:cs="Arial"/>
        </w:rPr>
        <w:t>eg</w:t>
      </w:r>
      <w:proofErr w:type="spellEnd"/>
      <w:r w:rsidRPr="003765D3">
        <w:rPr>
          <w:rFonts w:ascii="Arial" w:eastAsia="Times New Roman" w:hAnsi="Arial" w:cs="Arial"/>
        </w:rPr>
        <w:t>, intracranial, gastrointestinal) and a platelet count &lt;30,000/</w:t>
      </w:r>
      <w:proofErr w:type="spellStart"/>
      <w:r w:rsidRPr="003765D3">
        <w:rPr>
          <w:rFonts w:ascii="Arial" w:eastAsia="Times New Roman" w:hAnsi="Arial" w:cs="Arial"/>
        </w:rPr>
        <w:t>microL</w:t>
      </w:r>
      <w:proofErr w:type="spellEnd"/>
      <w:r w:rsidRPr="003765D3">
        <w:rPr>
          <w:rFonts w:ascii="Arial" w:eastAsia="Times New Roman" w:hAnsi="Arial" w:cs="Arial"/>
        </w:rPr>
        <w:t>, we recommend immediate platelet transfusion along with ITP-specific therapy with intravenous </w:t>
      </w:r>
      <w:hyperlink r:id="rId30" w:history="1">
        <w:r w:rsidRPr="003765D3">
          <w:rPr>
            <w:rFonts w:ascii="Arial" w:eastAsia="Times New Roman" w:hAnsi="Arial" w:cs="Arial"/>
            <w:color w:val="00905A"/>
            <w:u w:val="single"/>
          </w:rPr>
          <w:t>immune globulin</w:t>
        </w:r>
      </w:hyperlink>
      <w:r w:rsidRPr="003765D3">
        <w:rPr>
          <w:rFonts w:ascii="Arial" w:eastAsia="Times New Roman" w:hAnsi="Arial" w:cs="Arial"/>
        </w:rPr>
        <w:t> (IVIG) and high dose glucocorticoids. Platelet transfusions are also appropriate for some patients with higher platelet counts and bleeding in critical sites; early involvement of the consulting hematologist is advised. (See </w:t>
      </w:r>
      <w:hyperlink r:id="rId31" w:anchor="H28169821" w:history="1">
        <w:r w:rsidRPr="003765D3">
          <w:rPr>
            <w:rFonts w:ascii="Arial" w:eastAsia="Times New Roman" w:hAnsi="Arial" w:cs="Arial"/>
            <w:color w:val="00905A"/>
            <w:u w:val="single"/>
          </w:rPr>
          <w:t>'Treatment of bleeding'</w:t>
        </w:r>
      </w:hyperlink>
      <w:r w:rsidRPr="003765D3">
        <w:rPr>
          <w:rFonts w:ascii="Arial" w:eastAsia="Times New Roman" w:hAnsi="Arial" w:cs="Arial"/>
        </w:rPr>
        <w:t> below and </w:t>
      </w:r>
      <w:hyperlink r:id="rId32" w:anchor="H558395184" w:history="1">
        <w:r w:rsidRPr="003765D3">
          <w:rPr>
            <w:rFonts w:ascii="Arial" w:eastAsia="Times New Roman" w:hAnsi="Arial" w:cs="Arial"/>
            <w:color w:val="00905A"/>
            <w:u w:val="single"/>
          </w:rPr>
          <w:t>"Clinical and laboratory aspects of platelet transfusion therapy", section on 'Actively bleeding patient'</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 xml:space="preserve">For all patients with a new diagnosis of ITP and any clinically important bleeding, we recommend ITP-specific therapy, rather than observation, to reduce the risk of worsening bleeding complications. We also suggest ITP-specific therapy for patients with a new diagnosis of ITP and a platelet count &lt;20,000 </w:t>
      </w:r>
      <w:r w:rsidRPr="003765D3">
        <w:rPr>
          <w:rFonts w:ascii="Arial" w:eastAsia="Times New Roman" w:hAnsi="Arial" w:cs="Arial"/>
        </w:rPr>
        <w:lastRenderedPageBreak/>
        <w:t>to 30,000/</w:t>
      </w:r>
      <w:proofErr w:type="spellStart"/>
      <w:r w:rsidRPr="003765D3">
        <w:rPr>
          <w:rFonts w:ascii="Arial" w:eastAsia="Times New Roman" w:hAnsi="Arial" w:cs="Arial"/>
        </w:rPr>
        <w:t>microL</w:t>
      </w:r>
      <w:proofErr w:type="spellEnd"/>
      <w:r w:rsidRPr="003765D3">
        <w:rPr>
          <w:rFonts w:ascii="Arial" w:eastAsia="Times New Roman" w:hAnsi="Arial" w:cs="Arial"/>
        </w:rPr>
        <w:t> even in the absence of bleeding symptoms, because the thrombocytopenia may be persistent and become more severe. A platelet count above 30,000/</w:t>
      </w:r>
      <w:proofErr w:type="spellStart"/>
      <w:r w:rsidRPr="003765D3">
        <w:rPr>
          <w:rFonts w:ascii="Arial" w:eastAsia="Times New Roman" w:hAnsi="Arial" w:cs="Arial"/>
        </w:rPr>
        <w:t>microL</w:t>
      </w:r>
      <w:proofErr w:type="spellEnd"/>
      <w:r w:rsidRPr="003765D3">
        <w:rPr>
          <w:rFonts w:ascii="Arial" w:eastAsia="Times New Roman" w:hAnsi="Arial" w:cs="Arial"/>
        </w:rPr>
        <w:t> provides a margin of safety since severe bleeding typically does not occur unless the platelet count is &lt;10,000 to 20,000/</w:t>
      </w:r>
      <w:proofErr w:type="spellStart"/>
      <w:r w:rsidRPr="003765D3">
        <w:rPr>
          <w:rFonts w:ascii="Arial" w:eastAsia="Times New Roman" w:hAnsi="Arial" w:cs="Arial"/>
        </w:rPr>
        <w:t>microL</w:t>
      </w:r>
      <w:proofErr w:type="spellEnd"/>
      <w:r w:rsidRPr="003765D3">
        <w:rPr>
          <w:rFonts w:ascii="Arial" w:eastAsia="Times New Roman" w:hAnsi="Arial" w:cs="Arial"/>
        </w:rPr>
        <w:t>. Some patients with platelet counts between 20,000 and 30,000/</w:t>
      </w:r>
      <w:proofErr w:type="spellStart"/>
      <w:r w:rsidRPr="003765D3">
        <w:rPr>
          <w:rFonts w:ascii="Arial" w:eastAsia="Times New Roman" w:hAnsi="Arial" w:cs="Arial"/>
        </w:rPr>
        <w:t>microL</w:t>
      </w:r>
      <w:proofErr w:type="spellEnd"/>
      <w:r w:rsidRPr="003765D3">
        <w:rPr>
          <w:rFonts w:ascii="Arial" w:eastAsia="Times New Roman" w:hAnsi="Arial" w:cs="Arial"/>
        </w:rPr>
        <w:t> may be managed safely with observation and close monitoring.</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Some patients with platelet counts &gt;30,000/</w:t>
      </w:r>
      <w:proofErr w:type="spellStart"/>
      <w:r w:rsidRPr="003765D3">
        <w:rPr>
          <w:rFonts w:ascii="Arial" w:eastAsia="Times New Roman" w:hAnsi="Arial" w:cs="Arial"/>
        </w:rPr>
        <w:t>microL</w:t>
      </w:r>
      <w:proofErr w:type="spellEnd"/>
      <w:r w:rsidRPr="003765D3">
        <w:rPr>
          <w:rFonts w:ascii="Arial" w:eastAsia="Times New Roman" w:hAnsi="Arial" w:cs="Arial"/>
        </w:rPr>
        <w:t> may require treatment if they have an increased risk of bleeding (</w:t>
      </w:r>
      <w:proofErr w:type="spellStart"/>
      <w:r w:rsidRPr="003765D3">
        <w:rPr>
          <w:rFonts w:ascii="Arial" w:eastAsia="Times New Roman" w:hAnsi="Arial" w:cs="Arial"/>
        </w:rPr>
        <w:t>eg</w:t>
      </w:r>
      <w:proofErr w:type="spellEnd"/>
      <w:r w:rsidRPr="003765D3">
        <w:rPr>
          <w:rFonts w:ascii="Arial" w:eastAsia="Times New Roman" w:hAnsi="Arial" w:cs="Arial"/>
        </w:rPr>
        <w:t>, peptic ulcer disease, high risk of falling); other hemostatic defects (</w:t>
      </w:r>
      <w:proofErr w:type="spellStart"/>
      <w:r w:rsidRPr="003765D3">
        <w:rPr>
          <w:rFonts w:ascii="Arial" w:eastAsia="Times New Roman" w:hAnsi="Arial" w:cs="Arial"/>
        </w:rPr>
        <w:t>eg</w:t>
      </w:r>
      <w:proofErr w:type="spellEnd"/>
      <w:r w:rsidRPr="003765D3">
        <w:rPr>
          <w:rFonts w:ascii="Arial" w:eastAsia="Times New Roman" w:hAnsi="Arial" w:cs="Arial"/>
        </w:rPr>
        <w:t>, use of antiplatelet agents or anticoagulants); a history of bleeding at a higher platelet count; or a need for surgery/invasive procedures [</w:t>
      </w:r>
      <w:hyperlink r:id="rId33" w:history="1">
        <w:r w:rsidRPr="003765D3">
          <w:rPr>
            <w:rFonts w:ascii="Arial" w:eastAsia="Times New Roman" w:hAnsi="Arial" w:cs="Arial"/>
            <w:color w:val="00905A"/>
            <w:u w:val="single"/>
          </w:rPr>
          <w:t>5-7</w:t>
        </w:r>
      </w:hyperlink>
      <w:r w:rsidRPr="003765D3">
        <w:rPr>
          <w:rFonts w:ascii="Arial" w:eastAsia="Times New Roman" w:hAnsi="Arial" w:cs="Arial"/>
        </w:rPr>
        <w:t>]. For some patients, maintaining the platelet counts &gt;50,000/</w:t>
      </w:r>
      <w:proofErr w:type="spellStart"/>
      <w:r w:rsidRPr="003765D3">
        <w:rPr>
          <w:rFonts w:ascii="Arial" w:eastAsia="Times New Roman" w:hAnsi="Arial" w:cs="Arial"/>
        </w:rPr>
        <w:t>microL</w:t>
      </w:r>
      <w:proofErr w:type="spellEnd"/>
      <w:r w:rsidRPr="003765D3">
        <w:rPr>
          <w:rFonts w:ascii="Arial" w:eastAsia="Times New Roman" w:hAnsi="Arial" w:cs="Arial"/>
        </w:rPr>
        <w:t> may be desirable because of lifestyle (</w:t>
      </w:r>
      <w:proofErr w:type="spellStart"/>
      <w:r w:rsidRPr="003765D3">
        <w:rPr>
          <w:rFonts w:ascii="Arial" w:eastAsia="Times New Roman" w:hAnsi="Arial" w:cs="Arial"/>
        </w:rPr>
        <w:t>eg</w:t>
      </w:r>
      <w:proofErr w:type="spellEnd"/>
      <w:r w:rsidRPr="003765D3">
        <w:rPr>
          <w:rFonts w:ascii="Arial" w:eastAsia="Times New Roman" w:hAnsi="Arial" w:cs="Arial"/>
        </w:rPr>
        <w:t>, active sports) or occupation.</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For patients who require therapy but do not have severe bleeding requiring platelet transfusion, we suggest glucocorticoids, rather than IVIG, because glucocorticoids are easy to administer and lower in cost. Short-term glucocorticoid administration is generally safe and well-tolerated. However, IVIG may be used for some patients who do not tolerate glucocorticoid toxicities or added to glucocorticoid treatment for patients who require a more rapid platelet count increase. (See </w:t>
      </w:r>
      <w:hyperlink r:id="rId34" w:anchor="H88767833" w:history="1">
        <w:r w:rsidRPr="003765D3">
          <w:rPr>
            <w:rFonts w:ascii="Arial" w:eastAsia="Times New Roman" w:hAnsi="Arial" w:cs="Arial"/>
            <w:color w:val="00905A"/>
            <w:u w:val="single"/>
          </w:rPr>
          <w:t>'Choice of first-line therapy'</w:t>
        </w:r>
      </w:hyperlink>
      <w:r w:rsidRPr="003765D3">
        <w:rPr>
          <w:rFonts w:ascii="Arial" w:eastAsia="Times New Roman" w:hAnsi="Arial" w:cs="Arial"/>
        </w:rPr>
        <w:t> below.)</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We suggest not administering ITP-specific therapy in the majority of patients with platelet counts &gt;30,000/</w:t>
      </w:r>
      <w:proofErr w:type="spellStart"/>
      <w:r w:rsidRPr="003765D3">
        <w:rPr>
          <w:rFonts w:ascii="Arial" w:eastAsia="Times New Roman" w:hAnsi="Arial" w:cs="Arial"/>
        </w:rPr>
        <w:t>microL</w:t>
      </w:r>
      <w:proofErr w:type="spellEnd"/>
      <w:r w:rsidRPr="003765D3">
        <w:rPr>
          <w:rFonts w:ascii="Arial" w:eastAsia="Times New Roman" w:hAnsi="Arial" w:cs="Arial"/>
        </w:rPr>
        <w:t>; these patients can be monitored on a regular basis. Unnecessary treatment of asymptomatic patients with mild to moderate thrombocytopenia should be avoided because there is a risk of potential toxicities in the setting of extremely low to no increased risk of bleeding. (See </w:t>
      </w:r>
      <w:hyperlink r:id="rId35" w:anchor="H88767810" w:history="1">
        <w:r w:rsidRPr="003765D3">
          <w:rPr>
            <w:rFonts w:ascii="Arial" w:eastAsia="Times New Roman" w:hAnsi="Arial" w:cs="Arial"/>
            <w:color w:val="00905A"/>
            <w:u w:val="single"/>
          </w:rPr>
          <w:t>'Monitoring'</w:t>
        </w:r>
      </w:hyperlink>
      <w:r w:rsidRPr="003765D3">
        <w:rPr>
          <w:rFonts w:ascii="Arial" w:eastAsia="Times New Roman" w:hAnsi="Arial" w:cs="Arial"/>
        </w:rPr>
        <w:t> below and </w:t>
      </w:r>
      <w:hyperlink r:id="rId36" w:anchor="H1370199" w:history="1">
        <w:r w:rsidRPr="003765D3">
          <w:rPr>
            <w:rFonts w:ascii="Arial" w:eastAsia="Times New Roman" w:hAnsi="Arial" w:cs="Arial"/>
            <w:color w:val="00905A"/>
            <w:u w:val="single"/>
          </w:rPr>
          <w:t>'Disease course'</w:t>
        </w:r>
      </w:hyperlink>
      <w:r w:rsidRPr="003765D3">
        <w:rPr>
          <w:rFonts w:ascii="Arial" w:eastAsia="Times New Roman" w:hAnsi="Arial" w:cs="Arial"/>
        </w:rPr>
        <w:t> below.)</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Regardless of therapy, all patients should be monitored regularly and advised to consult their clinician for any signs of bleeding [</w:t>
      </w:r>
      <w:hyperlink r:id="rId37" w:history="1">
        <w:r w:rsidRPr="003765D3">
          <w:rPr>
            <w:rFonts w:ascii="Arial" w:eastAsia="Times New Roman" w:hAnsi="Arial" w:cs="Arial"/>
            <w:color w:val="00905A"/>
            <w:u w:val="single"/>
          </w:rPr>
          <w:t>5</w:t>
        </w:r>
        <w:proofErr w:type="gramStart"/>
        <w:r w:rsidRPr="003765D3">
          <w:rPr>
            <w:rFonts w:ascii="Arial" w:eastAsia="Times New Roman" w:hAnsi="Arial" w:cs="Arial"/>
            <w:color w:val="00905A"/>
            <w:u w:val="single"/>
          </w:rPr>
          <w:t>,8</w:t>
        </w:r>
        <w:proofErr w:type="gramEnd"/>
        <w:r w:rsidRPr="003765D3">
          <w:rPr>
            <w:rFonts w:ascii="Arial" w:eastAsia="Times New Roman" w:hAnsi="Arial" w:cs="Arial"/>
            <w:color w:val="00905A"/>
            <w:u w:val="single"/>
          </w:rPr>
          <w:t>-10</w:t>
        </w:r>
      </w:hyperlink>
      <w:r w:rsidRPr="003765D3">
        <w:rPr>
          <w:rFonts w:ascii="Arial" w:eastAsia="Times New Roman" w:hAnsi="Arial" w:cs="Arial"/>
        </w:rPr>
        <w:t>]. (See </w:t>
      </w:r>
      <w:hyperlink r:id="rId38" w:anchor="H88767810" w:history="1">
        <w:r w:rsidRPr="003765D3">
          <w:rPr>
            <w:rFonts w:ascii="Arial" w:eastAsia="Times New Roman" w:hAnsi="Arial" w:cs="Arial"/>
            <w:color w:val="00905A"/>
            <w:u w:val="single"/>
          </w:rPr>
          <w:t>'Monitoring'</w:t>
        </w:r>
      </w:hyperlink>
      <w:r w:rsidRPr="003765D3">
        <w:rPr>
          <w:rFonts w:ascii="Arial" w:eastAsia="Times New Roman" w:hAnsi="Arial" w:cs="Arial"/>
        </w:rPr>
        <w:t> below.)</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 xml:space="preserve">This approach is compatible with guidelines for ITP issued by the British Committee for Standards in </w:t>
      </w:r>
      <w:proofErr w:type="spellStart"/>
      <w:r w:rsidRPr="003765D3">
        <w:rPr>
          <w:rFonts w:ascii="Arial" w:eastAsia="Times New Roman" w:hAnsi="Arial" w:cs="Arial"/>
        </w:rPr>
        <w:t>Haematology</w:t>
      </w:r>
      <w:proofErr w:type="spellEnd"/>
      <w:r w:rsidRPr="003765D3">
        <w:rPr>
          <w:rFonts w:ascii="Arial" w:eastAsia="Times New Roman" w:hAnsi="Arial" w:cs="Arial"/>
        </w:rPr>
        <w:t xml:space="preserve">, General </w:t>
      </w:r>
      <w:proofErr w:type="spellStart"/>
      <w:r w:rsidRPr="003765D3">
        <w:rPr>
          <w:rFonts w:ascii="Arial" w:eastAsia="Times New Roman" w:hAnsi="Arial" w:cs="Arial"/>
        </w:rPr>
        <w:t>Haematology</w:t>
      </w:r>
      <w:proofErr w:type="spellEnd"/>
      <w:r w:rsidRPr="003765D3">
        <w:rPr>
          <w:rFonts w:ascii="Arial" w:eastAsia="Times New Roman" w:hAnsi="Arial" w:cs="Arial"/>
        </w:rPr>
        <w:t xml:space="preserve"> Task Force in 2003, an international consensus report published in 2010, and the American Society of Hematology evidence-based practice guideline published in 2011 [</w:t>
      </w:r>
      <w:hyperlink r:id="rId39" w:history="1">
        <w:r w:rsidRPr="003765D3">
          <w:rPr>
            <w:rFonts w:ascii="Arial" w:eastAsia="Times New Roman" w:hAnsi="Arial" w:cs="Arial"/>
            <w:color w:val="00905A"/>
            <w:u w:val="single"/>
          </w:rPr>
          <w:t>11-13</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Other therapeutic considerations</w:t>
      </w:r>
      <w:r w:rsidRPr="003765D3">
        <w:rPr>
          <w:rFonts w:ascii="Arial" w:eastAsia="Times New Roman" w:hAnsi="Arial" w:cs="Arial"/>
        </w:rPr>
        <w:t> — </w:t>
      </w:r>
      <w:proofErr w:type="gramStart"/>
      <w:r w:rsidRPr="003765D3">
        <w:rPr>
          <w:rFonts w:ascii="Arial" w:eastAsia="Times New Roman" w:hAnsi="Arial" w:cs="Arial"/>
        </w:rPr>
        <w:t>A</w:t>
      </w:r>
      <w:proofErr w:type="gramEnd"/>
      <w:r w:rsidRPr="003765D3">
        <w:rPr>
          <w:rFonts w:ascii="Arial" w:eastAsia="Times New Roman" w:hAnsi="Arial" w:cs="Arial"/>
        </w:rPr>
        <w:t xml:space="preserve"> variety of other issues warrant consideration along with the decision of whether to administer treatment to increase the platelet count. We address the following:</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Confirmation of the diagnosis</w:t>
      </w:r>
      <w:r w:rsidRPr="003765D3">
        <w:rPr>
          <w:rFonts w:ascii="Arial" w:eastAsia="Times New Roman" w:hAnsi="Arial" w:cs="Arial"/>
        </w:rPr>
        <w:t> – Although ITP is likely to be the correct diagnosis in the majority of patients with isolated severe thrombocytopenia, referral to a hematologist is appropriate for all patients with a new observation of thrombocytopenia with a platelet count below 100,000/</w:t>
      </w:r>
      <w:proofErr w:type="spellStart"/>
      <w:r w:rsidRPr="003765D3">
        <w:rPr>
          <w:rFonts w:ascii="Arial" w:eastAsia="Times New Roman" w:hAnsi="Arial" w:cs="Arial"/>
        </w:rPr>
        <w:t>microL</w:t>
      </w:r>
      <w:proofErr w:type="spellEnd"/>
      <w:r w:rsidRPr="003765D3">
        <w:rPr>
          <w:rFonts w:ascii="Arial" w:eastAsia="Times New Roman" w:hAnsi="Arial" w:cs="Arial"/>
        </w:rPr>
        <w:t xml:space="preserve">. Occasionally, patients are mistakenly labeled as having ITP and are unnecessarily exposed to treatments, including long-term glucocorticoid administration and/or splenectomy, </w:t>
      </w:r>
      <w:r w:rsidRPr="003765D3">
        <w:rPr>
          <w:rFonts w:ascii="Arial" w:eastAsia="Times New Roman" w:hAnsi="Arial" w:cs="Arial"/>
        </w:rPr>
        <w:lastRenderedPageBreak/>
        <w:t>when they actually have other conditions (</w:t>
      </w:r>
      <w:proofErr w:type="spellStart"/>
      <w:r w:rsidRPr="003765D3">
        <w:rPr>
          <w:rFonts w:ascii="Arial" w:eastAsia="Times New Roman" w:hAnsi="Arial" w:cs="Arial"/>
        </w:rPr>
        <w:t>eg</w:t>
      </w:r>
      <w:proofErr w:type="spellEnd"/>
      <w:r w:rsidRPr="003765D3">
        <w:rPr>
          <w:rFonts w:ascii="Arial" w:eastAsia="Times New Roman" w:hAnsi="Arial" w:cs="Arial"/>
        </w:rPr>
        <w:t>, drug-induced thrombocytopenia, congenital platelet disorder) [</w:t>
      </w:r>
      <w:hyperlink r:id="rId40" w:history="1">
        <w:r w:rsidRPr="003765D3">
          <w:rPr>
            <w:rFonts w:ascii="Arial" w:eastAsia="Times New Roman" w:hAnsi="Arial" w:cs="Arial"/>
            <w:color w:val="00905A"/>
            <w:u w:val="single"/>
          </w:rPr>
          <w:t>14</w:t>
        </w:r>
      </w:hyperlink>
      <w:r w:rsidRPr="003765D3">
        <w:rPr>
          <w:rFonts w:ascii="Arial" w:eastAsia="Times New Roman" w:hAnsi="Arial" w:cs="Arial"/>
        </w:rPr>
        <w:t>]. Thus, it is important to consider alternative diagnoses before initiating therapy. (See </w:t>
      </w:r>
      <w:hyperlink r:id="rId41" w:anchor="H15" w:history="1">
        <w:r w:rsidRPr="003765D3">
          <w:rPr>
            <w:rFonts w:ascii="Arial" w:eastAsia="Times New Roman" w:hAnsi="Arial" w:cs="Arial"/>
            <w:color w:val="00905A"/>
            <w:u w:val="single"/>
          </w:rPr>
          <w:t>"Immune thrombocytopenia (ITP) in adults: Clinical manifestations and diagnosis", section on 'Diagnostic evaluation'</w:t>
        </w:r>
      </w:hyperlink>
      <w:r w:rsidRPr="003765D3">
        <w:rPr>
          <w:rFonts w:ascii="Arial" w:eastAsia="Times New Roman" w:hAnsi="Arial" w:cs="Arial"/>
        </w:rPr>
        <w:t> and </w:t>
      </w:r>
      <w:hyperlink r:id="rId42" w:anchor="H4762390" w:history="1">
        <w:r w:rsidRPr="003765D3">
          <w:rPr>
            <w:rFonts w:ascii="Arial" w:eastAsia="Times New Roman" w:hAnsi="Arial" w:cs="Arial"/>
            <w:color w:val="00905A"/>
            <w:u w:val="single"/>
          </w:rPr>
          <w:t>'Hematologist referral'</w:t>
        </w:r>
      </w:hyperlink>
      <w:r w:rsidRPr="003765D3">
        <w:rPr>
          <w:rFonts w:ascii="Arial" w:eastAsia="Times New Roman" w:hAnsi="Arial" w:cs="Arial"/>
        </w:rPr>
        <w:t> below.)</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Evaluation for HIV, HCV, H. pylori, and hepatitis B</w:t>
      </w:r>
      <w:r w:rsidRPr="003765D3">
        <w:rPr>
          <w:rFonts w:ascii="Arial" w:eastAsia="Times New Roman" w:hAnsi="Arial" w:cs="Arial"/>
        </w:rPr>
        <w:t> – We do not perform an extensive evaluation for underlying conditions associated with secondary ITP in the absence of specific indications. However, it is appropriate to perform screening tests for human immunodeficiency virus (HIV) and hepatitis C virus (HCV) in all patients. (See </w:t>
      </w:r>
      <w:hyperlink r:id="rId43" w:history="1">
        <w:r w:rsidRPr="003765D3">
          <w:rPr>
            <w:rFonts w:ascii="Arial" w:eastAsia="Times New Roman" w:hAnsi="Arial" w:cs="Arial"/>
            <w:color w:val="00905A"/>
            <w:u w:val="single"/>
          </w:rPr>
          <w:t>"Immune thrombocytopenia (ITP) in adults: Clinical manifestations and diagnosis"</w:t>
        </w:r>
      </w:hyperlink>
      <w:r w:rsidRPr="003765D3">
        <w:rPr>
          <w:rFonts w:ascii="Arial" w:eastAsia="Times New Roman" w:hAnsi="Arial" w:cs="Arial"/>
        </w:rPr>
        <w:t>.)  </w:t>
      </w:r>
    </w:p>
    <w:p w:rsidR="003765D3" w:rsidRPr="003765D3" w:rsidRDefault="003765D3" w:rsidP="003765D3">
      <w:pPr>
        <w:spacing w:before="30" w:after="30" w:line="302" w:lineRule="atLeast"/>
        <w:ind w:left="1200"/>
        <w:rPr>
          <w:rFonts w:ascii="Arial" w:eastAsia="Times New Roman" w:hAnsi="Arial" w:cs="Arial"/>
        </w:rPr>
      </w:pPr>
      <w:r w:rsidRPr="003765D3">
        <w:rPr>
          <w:rFonts w:ascii="Arial" w:eastAsia="Times New Roman" w:hAnsi="Arial" w:cs="Arial"/>
        </w:rPr>
        <w:t>In North America, we do not routinely screen patients for Helicobacter pylori infection, although this may be indicated in other parts of the world, such as Japan, where the infection is endemic and more closely linked to ITP. This issue is discussed in more detail below. (See </w:t>
      </w:r>
      <w:hyperlink r:id="rId44" w:anchor="H88769745" w:history="1">
        <w:r w:rsidRPr="003765D3">
          <w:rPr>
            <w:rFonts w:ascii="Arial" w:eastAsia="Times New Roman" w:hAnsi="Arial" w:cs="Arial"/>
            <w:color w:val="00905A"/>
            <w:u w:val="single"/>
          </w:rPr>
          <w:t>'Helicobacter pylori infection'</w:t>
        </w:r>
      </w:hyperlink>
      <w:r w:rsidRPr="003765D3">
        <w:rPr>
          <w:rFonts w:ascii="Arial" w:eastAsia="Times New Roman" w:hAnsi="Arial" w:cs="Arial"/>
        </w:rPr>
        <w:t> below.)</w:t>
      </w:r>
    </w:p>
    <w:p w:rsidR="003765D3" w:rsidRPr="003765D3" w:rsidRDefault="003765D3" w:rsidP="003765D3">
      <w:pPr>
        <w:spacing w:before="30" w:after="30" w:line="302" w:lineRule="atLeast"/>
        <w:ind w:left="1200"/>
        <w:rPr>
          <w:rFonts w:ascii="Arial" w:eastAsia="Times New Roman" w:hAnsi="Arial" w:cs="Arial"/>
        </w:rPr>
      </w:pPr>
      <w:r w:rsidRPr="003765D3">
        <w:rPr>
          <w:rFonts w:ascii="Arial" w:eastAsia="Times New Roman" w:hAnsi="Arial" w:cs="Arial"/>
        </w:rPr>
        <w:t>Patients who will receive </w:t>
      </w:r>
      <w:hyperlink r:id="rId45" w:history="1">
        <w:r w:rsidRPr="003765D3">
          <w:rPr>
            <w:rFonts w:ascii="Arial" w:eastAsia="Times New Roman" w:hAnsi="Arial" w:cs="Arial"/>
            <w:color w:val="00905A"/>
            <w:u w:val="single"/>
          </w:rPr>
          <w:t>rituximab</w:t>
        </w:r>
      </w:hyperlink>
      <w:r w:rsidRPr="003765D3">
        <w:rPr>
          <w:rFonts w:ascii="Arial" w:eastAsia="Times New Roman" w:hAnsi="Arial" w:cs="Arial"/>
        </w:rPr>
        <w:t>, which we reserve for second-line therapy, should be tested for hepatitis B surface antigen (</w:t>
      </w:r>
      <w:proofErr w:type="spellStart"/>
      <w:r w:rsidRPr="003765D3">
        <w:rPr>
          <w:rFonts w:ascii="Arial" w:eastAsia="Times New Roman" w:hAnsi="Arial" w:cs="Arial"/>
        </w:rPr>
        <w:t>HBSAg</w:t>
      </w:r>
      <w:proofErr w:type="spellEnd"/>
      <w:r w:rsidRPr="003765D3">
        <w:rPr>
          <w:rFonts w:ascii="Arial" w:eastAsia="Times New Roman" w:hAnsi="Arial" w:cs="Arial"/>
        </w:rPr>
        <w:t>) and hepatitis B core antibody (anti-</w:t>
      </w:r>
      <w:proofErr w:type="spellStart"/>
      <w:r w:rsidRPr="003765D3">
        <w:rPr>
          <w:rFonts w:ascii="Arial" w:eastAsia="Times New Roman" w:hAnsi="Arial" w:cs="Arial"/>
        </w:rPr>
        <w:t>HBc</w:t>
      </w:r>
      <w:proofErr w:type="spellEnd"/>
      <w:r w:rsidRPr="003765D3">
        <w:rPr>
          <w:rFonts w:ascii="Arial" w:eastAsia="Times New Roman" w:hAnsi="Arial" w:cs="Arial"/>
        </w:rPr>
        <w:t>). However, prior treatment with IVIG may confound anti-</w:t>
      </w:r>
      <w:proofErr w:type="spellStart"/>
      <w:r w:rsidRPr="003765D3">
        <w:rPr>
          <w:rFonts w:ascii="Arial" w:eastAsia="Times New Roman" w:hAnsi="Arial" w:cs="Arial"/>
        </w:rPr>
        <w:t>HBc</w:t>
      </w:r>
      <w:proofErr w:type="spellEnd"/>
      <w:r w:rsidRPr="003765D3">
        <w:rPr>
          <w:rFonts w:ascii="Arial" w:eastAsia="Times New Roman" w:hAnsi="Arial" w:cs="Arial"/>
        </w:rPr>
        <w:t xml:space="preserve"> results due to the passive transfer of the antibody in IVIG; thus, testing for </w:t>
      </w:r>
      <w:proofErr w:type="spellStart"/>
      <w:r w:rsidRPr="003765D3">
        <w:rPr>
          <w:rFonts w:ascii="Arial" w:eastAsia="Times New Roman" w:hAnsi="Arial" w:cs="Arial"/>
        </w:rPr>
        <w:t>HBSAg</w:t>
      </w:r>
      <w:proofErr w:type="spellEnd"/>
      <w:r w:rsidRPr="003765D3">
        <w:rPr>
          <w:rFonts w:ascii="Arial" w:eastAsia="Times New Roman" w:hAnsi="Arial" w:cs="Arial"/>
        </w:rPr>
        <w:t xml:space="preserve"> and anti-</w:t>
      </w:r>
      <w:proofErr w:type="spellStart"/>
      <w:r w:rsidRPr="003765D3">
        <w:rPr>
          <w:rFonts w:ascii="Arial" w:eastAsia="Times New Roman" w:hAnsi="Arial" w:cs="Arial"/>
        </w:rPr>
        <w:t>HBc</w:t>
      </w:r>
      <w:proofErr w:type="spellEnd"/>
      <w:r w:rsidRPr="003765D3">
        <w:rPr>
          <w:rFonts w:ascii="Arial" w:eastAsia="Times New Roman" w:hAnsi="Arial" w:cs="Arial"/>
        </w:rPr>
        <w:t xml:space="preserve"> may also be done earlier in the patient's course if the need for therapeutic intervention is likely. (See </w:t>
      </w:r>
      <w:hyperlink r:id="rId46" w:history="1">
        <w:r w:rsidRPr="003765D3">
          <w:rPr>
            <w:rFonts w:ascii="Arial" w:eastAsia="Times New Roman" w:hAnsi="Arial" w:cs="Arial"/>
            <w:color w:val="00905A"/>
            <w:u w:val="single"/>
          </w:rPr>
          <w:t>"Diagnosis of hepatitis B virus infection"</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Shared decision-making</w:t>
      </w:r>
      <w:r w:rsidRPr="003765D3">
        <w:rPr>
          <w:rFonts w:ascii="Arial" w:eastAsia="Times New Roman" w:hAnsi="Arial" w:cs="Arial"/>
        </w:rPr>
        <w:t> – The ultimate decision to initiate treatment should be shared between the clinician and the patient. The risks and benefits of treatment versus close monitoring should be considered, especially in asymptomatic patients, since therapies for ITP may have substantial toxicities. Patient support materials are available on several websites, many of which are collated by the author (JG) on </w:t>
      </w:r>
      <w:hyperlink r:id="rId47" w:tgtFrame="_blank" w:history="1">
        <w:r w:rsidRPr="003765D3">
          <w:rPr>
            <w:rFonts w:ascii="Arial" w:eastAsia="Times New Roman" w:hAnsi="Arial" w:cs="Arial"/>
            <w:color w:val="00905A"/>
            <w:u w:val="single"/>
          </w:rPr>
          <w:t>our website</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Immunizations</w:t>
      </w:r>
      <w:r w:rsidRPr="003765D3">
        <w:rPr>
          <w:rFonts w:ascii="Arial" w:eastAsia="Times New Roman" w:hAnsi="Arial" w:cs="Arial"/>
        </w:rPr>
        <w:t> – Patients should be current with all recommended routine immunizations (</w:t>
      </w:r>
      <w:hyperlink r:id="rId48" w:history="1">
        <w:r w:rsidRPr="003765D3">
          <w:rPr>
            <w:rFonts w:ascii="Arial" w:eastAsia="Times New Roman" w:hAnsi="Arial" w:cs="Arial"/>
            <w:color w:val="00905A"/>
            <w:u w:val="single"/>
          </w:rPr>
          <w:t>figure 1</w:t>
        </w:r>
      </w:hyperlink>
      <w:r w:rsidRPr="003765D3">
        <w:rPr>
          <w:rFonts w:ascii="Arial" w:eastAsia="Times New Roman" w:hAnsi="Arial" w:cs="Arial"/>
        </w:rPr>
        <w:t> and </w:t>
      </w:r>
      <w:hyperlink r:id="rId49" w:history="1">
        <w:r w:rsidRPr="003765D3">
          <w:rPr>
            <w:rFonts w:ascii="Arial" w:eastAsia="Times New Roman" w:hAnsi="Arial" w:cs="Arial"/>
            <w:color w:val="00905A"/>
            <w:u w:val="single"/>
          </w:rPr>
          <w:t>figure 2</w:t>
        </w:r>
      </w:hyperlink>
      <w:r w:rsidRPr="003765D3">
        <w:rPr>
          <w:rFonts w:ascii="Arial" w:eastAsia="Times New Roman" w:hAnsi="Arial" w:cs="Arial"/>
        </w:rPr>
        <w:t>) because ITP therapies are immunosuppressive and may blunt immunization responses. (See </w:t>
      </w:r>
      <w:hyperlink r:id="rId50" w:history="1">
        <w:r w:rsidRPr="003765D3">
          <w:rPr>
            <w:rFonts w:ascii="Arial" w:eastAsia="Times New Roman" w:hAnsi="Arial" w:cs="Arial"/>
            <w:color w:val="00905A"/>
            <w:u w:val="single"/>
          </w:rPr>
          <w:t>"Approach to immunizations in healthy adults"</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Arial" w:eastAsia="Times New Roman" w:hAnsi="Arial" w:cs="Arial"/>
        </w:rPr>
        <w:t>Additional details regarding immunizations against encapsulated organisms to be provided prior to splenectomy and/or </w:t>
      </w:r>
      <w:hyperlink r:id="rId51" w:history="1">
        <w:r w:rsidRPr="003765D3">
          <w:rPr>
            <w:rFonts w:ascii="Arial" w:eastAsia="Times New Roman" w:hAnsi="Arial" w:cs="Arial"/>
            <w:color w:val="00905A"/>
            <w:u w:val="single"/>
          </w:rPr>
          <w:t>rituximab</w:t>
        </w:r>
      </w:hyperlink>
      <w:r w:rsidRPr="003765D3">
        <w:rPr>
          <w:rFonts w:ascii="Arial" w:eastAsia="Times New Roman" w:hAnsi="Arial" w:cs="Arial"/>
        </w:rPr>
        <w:t> are presented separately. (See </w:t>
      </w:r>
      <w:hyperlink r:id="rId52" w:history="1">
        <w:r w:rsidRPr="003765D3">
          <w:rPr>
            <w:rFonts w:ascii="Arial" w:eastAsia="Times New Roman" w:hAnsi="Arial" w:cs="Arial"/>
            <w:color w:val="00905A"/>
            <w:u w:val="single"/>
          </w:rPr>
          <w:t xml:space="preserve">"Prevention of sepsis in the </w:t>
        </w:r>
        <w:proofErr w:type="spellStart"/>
        <w:r w:rsidRPr="003765D3">
          <w:rPr>
            <w:rFonts w:ascii="Arial" w:eastAsia="Times New Roman" w:hAnsi="Arial" w:cs="Arial"/>
            <w:color w:val="00905A"/>
            <w:u w:val="single"/>
          </w:rPr>
          <w:t>asplenic</w:t>
        </w:r>
        <w:proofErr w:type="spellEnd"/>
        <w:r w:rsidRPr="003765D3">
          <w:rPr>
            <w:rFonts w:ascii="Arial" w:eastAsia="Times New Roman" w:hAnsi="Arial" w:cs="Arial"/>
            <w:color w:val="00905A"/>
            <w:u w:val="single"/>
          </w:rPr>
          <w:t xml:space="preserve"> patient"</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Activity restrictions</w:t>
      </w:r>
      <w:r w:rsidRPr="003765D3">
        <w:rPr>
          <w:rFonts w:ascii="Arial" w:eastAsia="Times New Roman" w:hAnsi="Arial" w:cs="Arial"/>
        </w:rPr>
        <w:t xml:space="preserve"> – Patients who are otherwise healthy and have no manifestations of </w:t>
      </w:r>
      <w:proofErr w:type="spellStart"/>
      <w:r w:rsidRPr="003765D3">
        <w:rPr>
          <w:rFonts w:ascii="Arial" w:eastAsia="Times New Roman" w:hAnsi="Arial" w:cs="Arial"/>
        </w:rPr>
        <w:t>petechiae</w:t>
      </w:r>
      <w:proofErr w:type="spellEnd"/>
      <w:r w:rsidRPr="003765D3">
        <w:rPr>
          <w:rFonts w:ascii="Arial" w:eastAsia="Times New Roman" w:hAnsi="Arial" w:cs="Arial"/>
        </w:rPr>
        <w:t xml:space="preserve"> or purpura may not require activity restrictions. Individual considerations apply to participation in certain activities. As an example, those with moderate to severe thrombocytopenia (&lt;50,000/</w:t>
      </w:r>
      <w:proofErr w:type="spellStart"/>
      <w:r w:rsidRPr="003765D3">
        <w:rPr>
          <w:rFonts w:ascii="Arial" w:eastAsia="Times New Roman" w:hAnsi="Arial" w:cs="Arial"/>
        </w:rPr>
        <w:t>microL</w:t>
      </w:r>
      <w:proofErr w:type="spellEnd"/>
      <w:r w:rsidRPr="003765D3">
        <w:rPr>
          <w:rFonts w:ascii="Arial" w:eastAsia="Times New Roman" w:hAnsi="Arial" w:cs="Arial"/>
        </w:rPr>
        <w:t>) may need to avoid extreme sports such as boxing, rugby, and martial arts.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Avoidance of antiplatelet agents</w:t>
      </w:r>
      <w:r w:rsidRPr="003765D3">
        <w:rPr>
          <w:rFonts w:ascii="Arial" w:eastAsia="Times New Roman" w:hAnsi="Arial" w:cs="Arial"/>
        </w:rPr>
        <w:t> – Patients should be educated about which medications and non-prescription remedies interfere with platelet function (</w:t>
      </w:r>
      <w:proofErr w:type="spellStart"/>
      <w:r w:rsidRPr="003765D3">
        <w:rPr>
          <w:rFonts w:ascii="Arial" w:eastAsia="Times New Roman" w:hAnsi="Arial" w:cs="Arial"/>
        </w:rPr>
        <w:t>eg</w:t>
      </w:r>
      <w:proofErr w:type="spellEnd"/>
      <w:r w:rsidRPr="003765D3">
        <w:rPr>
          <w:rFonts w:ascii="Arial" w:eastAsia="Times New Roman" w:hAnsi="Arial" w:cs="Arial"/>
        </w:rPr>
        <w:t>, </w:t>
      </w:r>
      <w:hyperlink r:id="rId53" w:history="1">
        <w:r w:rsidRPr="003765D3">
          <w:rPr>
            <w:rFonts w:ascii="Arial" w:eastAsia="Times New Roman" w:hAnsi="Arial" w:cs="Arial"/>
            <w:color w:val="00905A"/>
            <w:u w:val="single"/>
          </w:rPr>
          <w:t>aspirin</w:t>
        </w:r>
      </w:hyperlink>
      <w:r w:rsidRPr="003765D3">
        <w:rPr>
          <w:rFonts w:ascii="Arial" w:eastAsia="Times New Roman" w:hAnsi="Arial" w:cs="Arial"/>
        </w:rPr>
        <w:t xml:space="preserve">, non-steroidal </w:t>
      </w:r>
      <w:proofErr w:type="spellStart"/>
      <w:r w:rsidRPr="003765D3">
        <w:rPr>
          <w:rFonts w:ascii="Arial" w:eastAsia="Times New Roman" w:hAnsi="Arial" w:cs="Arial"/>
        </w:rPr>
        <w:t>antiinflammatory</w:t>
      </w:r>
      <w:proofErr w:type="spellEnd"/>
      <w:r w:rsidRPr="003765D3">
        <w:rPr>
          <w:rFonts w:ascii="Arial" w:eastAsia="Times New Roman" w:hAnsi="Arial" w:cs="Arial"/>
        </w:rPr>
        <w:t xml:space="preserve"> drugs, ginkgo biloba). In general, these </w:t>
      </w:r>
      <w:r w:rsidRPr="003765D3">
        <w:rPr>
          <w:rFonts w:ascii="Arial" w:eastAsia="Times New Roman" w:hAnsi="Arial" w:cs="Arial"/>
        </w:rPr>
        <w:lastRenderedPageBreak/>
        <w:t>agents should be avoided unless there is a specific indication for which equivalent alternatives are lacking. Selective COX-2 inhibitors (</w:t>
      </w:r>
      <w:proofErr w:type="spellStart"/>
      <w:r w:rsidRPr="003765D3">
        <w:rPr>
          <w:rFonts w:ascii="Arial" w:eastAsia="Times New Roman" w:hAnsi="Arial" w:cs="Arial"/>
        </w:rPr>
        <w:t>eg</w:t>
      </w:r>
      <w:proofErr w:type="spellEnd"/>
      <w:r w:rsidRPr="003765D3">
        <w:rPr>
          <w:rFonts w:ascii="Arial" w:eastAsia="Times New Roman" w:hAnsi="Arial" w:cs="Arial"/>
        </w:rPr>
        <w:t>, </w:t>
      </w:r>
      <w:hyperlink r:id="rId54" w:history="1">
        <w:r w:rsidRPr="003765D3">
          <w:rPr>
            <w:rFonts w:ascii="Arial" w:eastAsia="Times New Roman" w:hAnsi="Arial" w:cs="Arial"/>
            <w:color w:val="00905A"/>
            <w:u w:val="single"/>
          </w:rPr>
          <w:t>celecoxib</w:t>
        </w:r>
      </w:hyperlink>
      <w:r w:rsidRPr="003765D3">
        <w:rPr>
          <w:rFonts w:ascii="Arial" w:eastAsia="Times New Roman" w:hAnsi="Arial" w:cs="Arial"/>
        </w:rPr>
        <w:t>) are not expected to affect platelet function substantially. (See </w:t>
      </w:r>
      <w:hyperlink r:id="rId55" w:anchor="H7" w:history="1">
        <w:r w:rsidRPr="003765D3">
          <w:rPr>
            <w:rFonts w:ascii="Arial" w:eastAsia="Times New Roman" w:hAnsi="Arial" w:cs="Arial"/>
            <w:color w:val="00905A"/>
            <w:u w:val="single"/>
          </w:rPr>
          <w:t>"Overview of selective COX-2 inhibitors", section on 'Lack of effect upon platelets'</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Arial" w:eastAsia="Times New Roman" w:hAnsi="Arial" w:cs="Arial"/>
        </w:rPr>
        <w:t>Importantly, however, appropriate antithrombotic therapies should not be withheld from a patient with mild to moderate thrombocytopenia (</w:t>
      </w:r>
      <w:proofErr w:type="spellStart"/>
      <w:r w:rsidRPr="003765D3">
        <w:rPr>
          <w:rFonts w:ascii="Arial" w:eastAsia="Times New Roman" w:hAnsi="Arial" w:cs="Arial"/>
        </w:rPr>
        <w:t>eg</w:t>
      </w:r>
      <w:proofErr w:type="spellEnd"/>
      <w:r w:rsidRPr="003765D3">
        <w:rPr>
          <w:rFonts w:ascii="Arial" w:eastAsia="Times New Roman" w:hAnsi="Arial" w:cs="Arial"/>
        </w:rPr>
        <w:t>, platelet count &gt;50,000/</w:t>
      </w:r>
      <w:proofErr w:type="spellStart"/>
      <w:r w:rsidRPr="003765D3">
        <w:rPr>
          <w:rFonts w:ascii="Arial" w:eastAsia="Times New Roman" w:hAnsi="Arial" w:cs="Arial"/>
        </w:rPr>
        <w:t>microL</w:t>
      </w:r>
      <w:proofErr w:type="spellEnd"/>
      <w:r w:rsidRPr="003765D3">
        <w:rPr>
          <w:rFonts w:ascii="Arial" w:eastAsia="Times New Roman" w:hAnsi="Arial" w:cs="Arial"/>
        </w:rPr>
        <w:t>) if indicated (</w:t>
      </w:r>
      <w:proofErr w:type="spellStart"/>
      <w:r w:rsidRPr="003765D3">
        <w:rPr>
          <w:rFonts w:ascii="Arial" w:eastAsia="Times New Roman" w:hAnsi="Arial" w:cs="Arial"/>
        </w:rPr>
        <w:t>eg</w:t>
      </w:r>
      <w:proofErr w:type="spellEnd"/>
      <w:r w:rsidRPr="003765D3">
        <w:rPr>
          <w:rFonts w:ascii="Arial" w:eastAsia="Times New Roman" w:hAnsi="Arial" w:cs="Arial"/>
        </w:rPr>
        <w:t>, patient with venous thromboembolism or atrial fibrillation). For patients with more severe thrombocytopenia, decisions are made on a case-by-case basis regarding the risks of bleeding and benefits of anticoagulation. The consequences of thrombosis are generally more severe than the consequences of thrombocytopenia, and often therapy to prevent thrombosis can be administered along with therapy to raise the platelet count if needed.</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Monitoring</w:t>
      </w:r>
      <w:r w:rsidRPr="003765D3">
        <w:rPr>
          <w:rFonts w:ascii="Arial" w:eastAsia="Times New Roman" w:hAnsi="Arial" w:cs="Arial"/>
        </w:rPr>
        <w:t> — Monitoring of patients with ITP includes clinical evaluation for bleeding and measurement of the platelet count. The frequency of monitoring depends on disease severity and treatment.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Patients with mild thrombocytopenia who have been evaluated by a hematologist and who do not require treatment, such as those with platelet counts &gt;30,000/</w:t>
      </w:r>
      <w:proofErr w:type="spellStart"/>
      <w:r w:rsidRPr="003765D3">
        <w:rPr>
          <w:rFonts w:ascii="Arial" w:eastAsia="Times New Roman" w:hAnsi="Arial" w:cs="Arial"/>
        </w:rPr>
        <w:t>microL</w:t>
      </w:r>
      <w:proofErr w:type="spellEnd"/>
      <w:r w:rsidRPr="003765D3">
        <w:rPr>
          <w:rFonts w:ascii="Arial" w:eastAsia="Times New Roman" w:hAnsi="Arial" w:cs="Arial"/>
        </w:rPr>
        <w:t>, may need only infrequent monitoring once it is determined that the platelet count is stable and bleeding symptoms do not occur. For these patients, evaluations one to three times per year may be appropriate, and these evaluations may be performed by the patient's primary care provider or hematologist.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Patients who have more severe and symptomatic thrombocytopenia, especially patients who are receiving treatments, require more frequent monitoring, often as frequently as once every one to three weeks.</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Patients should be aware of the symptoms of severe bleeding (</w:t>
      </w:r>
      <w:proofErr w:type="spellStart"/>
      <w:r w:rsidRPr="003765D3">
        <w:rPr>
          <w:rFonts w:ascii="Arial" w:eastAsia="Times New Roman" w:hAnsi="Arial" w:cs="Arial"/>
        </w:rPr>
        <w:t>eg</w:t>
      </w:r>
      <w:proofErr w:type="spellEnd"/>
      <w:r w:rsidRPr="003765D3">
        <w:rPr>
          <w:rFonts w:ascii="Arial" w:eastAsia="Times New Roman" w:hAnsi="Arial" w:cs="Arial"/>
        </w:rPr>
        <w:t>, melena, severe headache) and should be advised to consult their clinician if bleeding occurs.</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Hematologist referral</w:t>
      </w:r>
      <w:r w:rsidRPr="003765D3">
        <w:rPr>
          <w:rFonts w:ascii="Arial" w:eastAsia="Times New Roman" w:hAnsi="Arial" w:cs="Arial"/>
        </w:rPr>
        <w:t> — Referral to a hematologist is appropriate in the following settings: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New ITP diagnosis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Severe or clinically important bleeding</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Inadequate platelet count response to therapy</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Upcoming hemostatic challenge (</w:t>
      </w:r>
      <w:proofErr w:type="spellStart"/>
      <w:r w:rsidRPr="003765D3">
        <w:rPr>
          <w:rFonts w:ascii="Arial" w:eastAsia="Times New Roman" w:hAnsi="Arial" w:cs="Arial"/>
        </w:rPr>
        <w:t>eg</w:t>
      </w:r>
      <w:proofErr w:type="spellEnd"/>
      <w:r w:rsidRPr="003765D3">
        <w:rPr>
          <w:rFonts w:ascii="Arial" w:eastAsia="Times New Roman" w:hAnsi="Arial" w:cs="Arial"/>
        </w:rPr>
        <w:t>, surgery, pregnancy)</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For patients with stable platelet counts over 30,000/</w:t>
      </w:r>
      <w:proofErr w:type="spellStart"/>
      <w:r w:rsidRPr="003765D3">
        <w:rPr>
          <w:rFonts w:ascii="Arial" w:eastAsia="Times New Roman" w:hAnsi="Arial" w:cs="Arial"/>
        </w:rPr>
        <w:t>microL</w:t>
      </w:r>
      <w:proofErr w:type="spellEnd"/>
      <w:r w:rsidRPr="003765D3">
        <w:rPr>
          <w:rFonts w:ascii="Arial" w:eastAsia="Times New Roman" w:hAnsi="Arial" w:cs="Arial"/>
        </w:rPr>
        <w:t> and no clinically significant bleeding, subsequent monitoring can be performed by the primary physician or the hematologist.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TREATMENT OF BLEEDING</w:t>
      </w:r>
      <w:r w:rsidRPr="003765D3">
        <w:rPr>
          <w:rFonts w:ascii="Arial" w:eastAsia="Times New Roman" w:hAnsi="Arial" w:cs="Arial"/>
        </w:rPr>
        <w:t> — </w:t>
      </w:r>
      <w:proofErr w:type="gramStart"/>
      <w:r w:rsidRPr="003765D3">
        <w:rPr>
          <w:rFonts w:ascii="Arial" w:eastAsia="Times New Roman" w:hAnsi="Arial" w:cs="Arial"/>
        </w:rPr>
        <w:t>Of</w:t>
      </w:r>
      <w:proofErr w:type="gramEnd"/>
      <w:r w:rsidRPr="003765D3">
        <w:rPr>
          <w:rFonts w:ascii="Arial" w:eastAsia="Times New Roman" w:hAnsi="Arial" w:cs="Arial"/>
        </w:rPr>
        <w:t xml:space="preserve"> note, severe bleeding (</w:t>
      </w:r>
      <w:proofErr w:type="spellStart"/>
      <w:r w:rsidRPr="003765D3">
        <w:rPr>
          <w:rFonts w:ascii="Arial" w:eastAsia="Times New Roman" w:hAnsi="Arial" w:cs="Arial"/>
        </w:rPr>
        <w:t>eg</w:t>
      </w:r>
      <w:proofErr w:type="spellEnd"/>
      <w:r w:rsidRPr="003765D3">
        <w:rPr>
          <w:rFonts w:ascii="Arial" w:eastAsia="Times New Roman" w:hAnsi="Arial" w:cs="Arial"/>
        </w:rPr>
        <w:t>, intracranial, gastrointestinal) is rare in patients with ITP, on the order of 1 percent for intracerebral hemorrhage [</w:t>
      </w:r>
      <w:hyperlink r:id="rId56" w:history="1">
        <w:r w:rsidRPr="003765D3">
          <w:rPr>
            <w:rFonts w:ascii="Arial" w:eastAsia="Times New Roman" w:hAnsi="Arial" w:cs="Arial"/>
            <w:color w:val="00905A"/>
            <w:u w:val="single"/>
          </w:rPr>
          <w:t>15-19</w:t>
        </w:r>
      </w:hyperlink>
      <w:r w:rsidRPr="003765D3">
        <w:rPr>
          <w:rFonts w:ascii="Arial" w:eastAsia="Times New Roman" w:hAnsi="Arial" w:cs="Arial"/>
        </w:rPr>
        <w:t>]. However, if bleeding occurs, rapid intervention may be life-saving.</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lastRenderedPageBreak/>
        <w:t>For patients with severe bleeding (</w:t>
      </w:r>
      <w:proofErr w:type="spellStart"/>
      <w:r w:rsidRPr="003765D3">
        <w:rPr>
          <w:rFonts w:ascii="Arial" w:eastAsia="Times New Roman" w:hAnsi="Arial" w:cs="Arial"/>
        </w:rPr>
        <w:t>eg</w:t>
      </w:r>
      <w:proofErr w:type="spellEnd"/>
      <w:r w:rsidRPr="003765D3">
        <w:rPr>
          <w:rFonts w:ascii="Arial" w:eastAsia="Times New Roman" w:hAnsi="Arial" w:cs="Arial"/>
        </w:rPr>
        <w:t>, intracranial, gastrointestinal) and a platelet count &lt;30,000/</w:t>
      </w:r>
      <w:proofErr w:type="spellStart"/>
      <w:r w:rsidRPr="003765D3">
        <w:rPr>
          <w:rFonts w:ascii="Arial" w:eastAsia="Times New Roman" w:hAnsi="Arial" w:cs="Arial"/>
        </w:rPr>
        <w:t>microL</w:t>
      </w:r>
      <w:proofErr w:type="spellEnd"/>
      <w:r w:rsidRPr="003765D3">
        <w:rPr>
          <w:rFonts w:ascii="Arial" w:eastAsia="Times New Roman" w:hAnsi="Arial" w:cs="Arial"/>
        </w:rPr>
        <w:t>, we recommend immediate therapy that includes </w:t>
      </w:r>
      <w:r w:rsidRPr="003765D3">
        <w:rPr>
          <w:rFonts w:ascii="Arial" w:eastAsia="Times New Roman" w:hAnsi="Arial" w:cs="Arial"/>
          <w:b/>
          <w:bCs/>
        </w:rPr>
        <w:t>all</w:t>
      </w:r>
      <w:r w:rsidRPr="003765D3">
        <w:rPr>
          <w:rFonts w:ascii="Arial" w:eastAsia="Times New Roman" w:hAnsi="Arial" w:cs="Arial"/>
        </w:rPr>
        <w:t> of the following:</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Platelet transfusion (see </w:t>
      </w:r>
      <w:hyperlink r:id="rId57" w:anchor="H558395184" w:history="1">
        <w:r w:rsidRPr="003765D3">
          <w:rPr>
            <w:rFonts w:ascii="Arial" w:eastAsia="Times New Roman" w:hAnsi="Arial" w:cs="Arial"/>
            <w:color w:val="00905A"/>
            <w:u w:val="single"/>
          </w:rPr>
          <w:t>"Clinical and laboratory aspects of platelet transfusion therapy", section on 'Actively bleeding patient'</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Intravenous </w:t>
      </w:r>
      <w:hyperlink r:id="rId58" w:history="1">
        <w:r w:rsidRPr="003765D3">
          <w:rPr>
            <w:rFonts w:ascii="Arial" w:eastAsia="Times New Roman" w:hAnsi="Arial" w:cs="Arial"/>
            <w:color w:val="00905A"/>
            <w:u w:val="single"/>
          </w:rPr>
          <w:t>immune globulin</w:t>
        </w:r>
      </w:hyperlink>
      <w:r w:rsidRPr="003765D3">
        <w:rPr>
          <w:rFonts w:ascii="Arial" w:eastAsia="Times New Roman" w:hAnsi="Arial" w:cs="Arial"/>
        </w:rPr>
        <w:t> (IVIG, 1g/kg, repeated the following day if the platelet count remains &lt;50,000/</w:t>
      </w:r>
      <w:proofErr w:type="spellStart"/>
      <w:r w:rsidRPr="003765D3">
        <w:rPr>
          <w:rFonts w:ascii="Arial" w:eastAsia="Times New Roman" w:hAnsi="Arial" w:cs="Arial"/>
        </w:rPr>
        <w:t>microL</w:t>
      </w:r>
      <w:proofErr w:type="spellEnd"/>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Glucocorticoids (</w:t>
      </w:r>
      <w:proofErr w:type="spellStart"/>
      <w:r w:rsidRPr="003765D3">
        <w:rPr>
          <w:rFonts w:ascii="Arial" w:eastAsia="Times New Roman" w:hAnsi="Arial" w:cs="Arial"/>
        </w:rPr>
        <w:t>eg</w:t>
      </w:r>
      <w:proofErr w:type="spellEnd"/>
      <w:r w:rsidRPr="003765D3">
        <w:rPr>
          <w:rFonts w:ascii="Arial" w:eastAsia="Times New Roman" w:hAnsi="Arial" w:cs="Arial"/>
        </w:rPr>
        <w:t>, </w:t>
      </w:r>
      <w:hyperlink r:id="rId59" w:history="1">
        <w:r w:rsidRPr="003765D3">
          <w:rPr>
            <w:rFonts w:ascii="Arial" w:eastAsia="Times New Roman" w:hAnsi="Arial" w:cs="Arial"/>
            <w:color w:val="00905A"/>
            <w:u w:val="single"/>
          </w:rPr>
          <w:t>methylprednisolone</w:t>
        </w:r>
      </w:hyperlink>
      <w:r w:rsidRPr="003765D3">
        <w:rPr>
          <w:rFonts w:ascii="Arial" w:eastAsia="Times New Roman" w:hAnsi="Arial" w:cs="Arial"/>
        </w:rPr>
        <w:t>, 1 g intravenously, repeated daily for three doses; </w:t>
      </w:r>
      <w:r w:rsidRPr="003765D3">
        <w:rPr>
          <w:rFonts w:ascii="Arial" w:eastAsia="Times New Roman" w:hAnsi="Arial" w:cs="Arial"/>
          <w:b/>
          <w:bCs/>
        </w:rPr>
        <w:t>or</w:t>
      </w:r>
      <w:r w:rsidRPr="003765D3">
        <w:rPr>
          <w:rFonts w:ascii="Arial" w:eastAsia="Times New Roman" w:hAnsi="Arial" w:cs="Arial"/>
        </w:rPr>
        <w:t> </w:t>
      </w:r>
      <w:hyperlink r:id="rId60" w:history="1">
        <w:r w:rsidRPr="003765D3">
          <w:rPr>
            <w:rFonts w:ascii="Arial" w:eastAsia="Times New Roman" w:hAnsi="Arial" w:cs="Arial"/>
            <w:color w:val="00905A"/>
            <w:u w:val="single"/>
          </w:rPr>
          <w:t>dexamethasone</w:t>
        </w:r>
      </w:hyperlink>
      <w:r w:rsidRPr="003765D3">
        <w:rPr>
          <w:rFonts w:ascii="Arial" w:eastAsia="Times New Roman" w:hAnsi="Arial" w:cs="Arial"/>
        </w:rPr>
        <w:t>, 40 mg orally or intravenously, repeated daily for four days)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proofErr w:type="spellStart"/>
      <w:r w:rsidRPr="003765D3">
        <w:rPr>
          <w:rFonts w:ascii="Arial" w:eastAsia="Times New Roman" w:hAnsi="Arial" w:cs="Arial"/>
        </w:rPr>
        <w:fldChar w:fldCharType="begin"/>
      </w:r>
      <w:r w:rsidRPr="003765D3">
        <w:rPr>
          <w:rFonts w:ascii="Arial" w:eastAsia="Times New Roman" w:hAnsi="Arial" w:cs="Arial"/>
        </w:rPr>
        <w:instrText xml:space="preserve"> HYPERLINK "https://www.uptodate.com/contents/romiplostim-drug-information?source=see_link" </w:instrText>
      </w:r>
      <w:r w:rsidRPr="003765D3">
        <w:rPr>
          <w:rFonts w:ascii="Arial" w:eastAsia="Times New Roman" w:hAnsi="Arial" w:cs="Arial"/>
        </w:rPr>
        <w:fldChar w:fldCharType="separate"/>
      </w:r>
      <w:r w:rsidRPr="003765D3">
        <w:rPr>
          <w:rFonts w:ascii="Arial" w:eastAsia="Times New Roman" w:hAnsi="Arial" w:cs="Arial"/>
          <w:color w:val="00905A"/>
          <w:u w:val="single"/>
        </w:rPr>
        <w:t>Romiplostim</w:t>
      </w:r>
      <w:proofErr w:type="spellEnd"/>
      <w:r w:rsidRPr="003765D3">
        <w:rPr>
          <w:rFonts w:ascii="Arial" w:eastAsia="Times New Roman" w:hAnsi="Arial" w:cs="Arial"/>
        </w:rPr>
        <w:fldChar w:fldCharType="end"/>
      </w:r>
      <w:r w:rsidRPr="003765D3">
        <w:rPr>
          <w:rFonts w:ascii="Arial" w:eastAsia="Times New Roman" w:hAnsi="Arial" w:cs="Arial"/>
        </w:rPr>
        <w:t>, 500 mcg subcutaneously, which represents approximately 5 to 7 mcg/kg for most patients [</w:t>
      </w:r>
      <w:hyperlink r:id="rId61" w:history="1">
        <w:r w:rsidRPr="003765D3">
          <w:rPr>
            <w:rFonts w:ascii="Arial" w:eastAsia="Times New Roman" w:hAnsi="Arial" w:cs="Arial"/>
            <w:color w:val="00905A"/>
            <w:u w:val="single"/>
          </w:rPr>
          <w:t>20</w:t>
        </w:r>
      </w:hyperlink>
      <w:r w:rsidRPr="003765D3">
        <w:rPr>
          <w:rFonts w:ascii="Arial" w:eastAsia="Times New Roman" w:hAnsi="Arial" w:cs="Arial"/>
        </w:rPr>
        <w:t>]. This may be repeated in one week for severe bleeding and thrombocytopenia. (See </w:t>
      </w:r>
      <w:hyperlink r:id="rId62" w:anchor="H7" w:history="1">
        <w:r w:rsidRPr="003765D3">
          <w:rPr>
            <w:rFonts w:ascii="Arial" w:eastAsia="Times New Roman" w:hAnsi="Arial" w:cs="Arial"/>
            <w:color w:val="00905A"/>
            <w:u w:val="single"/>
          </w:rPr>
          <w:t>"Immune thrombocytopenia (ITP) in adults: Second-line and subsequent therapies", section on '</w:t>
        </w:r>
        <w:proofErr w:type="spellStart"/>
        <w:r w:rsidRPr="003765D3">
          <w:rPr>
            <w:rFonts w:ascii="Arial" w:eastAsia="Times New Roman" w:hAnsi="Arial" w:cs="Arial"/>
            <w:color w:val="00905A"/>
            <w:u w:val="single"/>
          </w:rPr>
          <w:t>Romiplostim</w:t>
        </w:r>
        <w:proofErr w:type="spellEnd"/>
        <w:r w:rsidRPr="003765D3">
          <w:rPr>
            <w:rFonts w:ascii="Arial" w:eastAsia="Times New Roman" w:hAnsi="Arial" w:cs="Arial"/>
            <w:color w:val="00905A"/>
            <w:u w:val="single"/>
          </w:rPr>
          <w:t>'</w:t>
        </w:r>
      </w:hyperlink>
      <w:r w:rsidRPr="003765D3">
        <w:rPr>
          <w:rFonts w:ascii="Arial" w:eastAsia="Times New Roman" w:hAnsi="Arial" w:cs="Arial"/>
        </w:rPr>
        <w:t> and </w:t>
      </w:r>
      <w:hyperlink r:id="rId63" w:anchor="H5" w:history="1">
        <w:r w:rsidRPr="003765D3">
          <w:rPr>
            <w:rFonts w:ascii="Arial" w:eastAsia="Times New Roman" w:hAnsi="Arial" w:cs="Arial"/>
            <w:color w:val="00905A"/>
            <w:u w:val="single"/>
          </w:rPr>
          <w:t xml:space="preserve">"Clinical applications of </w:t>
        </w:r>
        <w:proofErr w:type="spellStart"/>
        <w:r w:rsidRPr="003765D3">
          <w:rPr>
            <w:rFonts w:ascii="Arial" w:eastAsia="Times New Roman" w:hAnsi="Arial" w:cs="Arial"/>
            <w:color w:val="00905A"/>
            <w:u w:val="single"/>
          </w:rPr>
          <w:t>thrombopoietic</w:t>
        </w:r>
        <w:proofErr w:type="spellEnd"/>
        <w:r w:rsidRPr="003765D3">
          <w:rPr>
            <w:rFonts w:ascii="Arial" w:eastAsia="Times New Roman" w:hAnsi="Arial" w:cs="Arial"/>
            <w:color w:val="00905A"/>
            <w:u w:val="single"/>
          </w:rPr>
          <w:t xml:space="preserve"> growth factors", section on '</w:t>
        </w:r>
        <w:proofErr w:type="spellStart"/>
        <w:r w:rsidRPr="003765D3">
          <w:rPr>
            <w:rFonts w:ascii="Arial" w:eastAsia="Times New Roman" w:hAnsi="Arial" w:cs="Arial"/>
            <w:color w:val="00905A"/>
            <w:u w:val="single"/>
          </w:rPr>
          <w:t>Romiplostim</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Nplate</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Romiplate</w:t>
        </w:r>
        <w:proofErr w:type="spellEnd"/>
        <w:r w:rsidRPr="003765D3">
          <w:rPr>
            <w:rFonts w:ascii="Arial" w:eastAsia="Times New Roman" w:hAnsi="Arial" w:cs="Arial"/>
            <w:color w:val="00905A"/>
            <w:u w:val="single"/>
          </w:rPr>
          <w:t>)'</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Conventional critical care measures should be instituted for life-threatening bleeding, including surgical or endoscopic procedures to treat the bleeding site, and transfusion of red blood cells, if appropriate. (See </w:t>
      </w:r>
      <w:hyperlink r:id="rId64" w:anchor="H606681" w:history="1">
        <w:r w:rsidRPr="003765D3">
          <w:rPr>
            <w:rFonts w:ascii="Arial" w:eastAsia="Times New Roman" w:hAnsi="Arial" w:cs="Arial"/>
            <w:color w:val="00905A"/>
            <w:u w:val="single"/>
          </w:rPr>
          <w:t>"Indications and hemoglobin thresholds for red blood cell transfusion in the adult", section on 'Acute bleeding'</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Platelet transfusions, IVIG, and/or glucocorticoids are also appropriate for some patients with higher platelet counts and severe bleeding, or lower counts and less-severe bleeding, if there are concerns that bleeding may worsen. In contrast, a patient with mild to moderate thrombocytopenia and more minor bleeding may not require these interventions. Such decisions should be guided by clinician judgment rather than a specific platelet count threshold, and early involvement of the consulting hematologist is advised.</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Platelet transfusions may be effective despite a lack of significant platelet count rise as measured one hour post transfusion.</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Platelet transfusions do not appear to increase the risk of thrombosis in patients with ITP. This was demonstrated in a large inpatient database review that evaluated the risk of thrombosis from platelet transfusion in a variety of hospitalized patients, including 79,980 patients hospitalized for ITP, 9187 of whom had bleeding (12 percent) and 26 percent of whom received a platelet transfusion [</w:t>
      </w:r>
      <w:hyperlink r:id="rId65" w:history="1">
        <w:r w:rsidRPr="003765D3">
          <w:rPr>
            <w:rFonts w:ascii="Arial" w:eastAsia="Times New Roman" w:hAnsi="Arial" w:cs="Arial"/>
            <w:color w:val="00905A"/>
            <w:u w:val="single"/>
          </w:rPr>
          <w:t>18</w:t>
        </w:r>
      </w:hyperlink>
      <w:r w:rsidRPr="003765D3">
        <w:rPr>
          <w:rFonts w:ascii="Arial" w:eastAsia="Times New Roman" w:hAnsi="Arial" w:cs="Arial"/>
        </w:rPr>
        <w:t>]. In these patients, thrombosis was reported in 665 (1 percent), and the risk of thrombosis was not increased in those who received platelet transfusions. However, platelet transfusions do carry other risks such as transfusion reactions and infections, which reinforces our practice of only using platelet transfusions for bleeding that is severe or has the potential to become severe. These risks are discussed in more detail separately. (See </w:t>
      </w:r>
      <w:hyperlink r:id="rId66" w:anchor="H382870592" w:history="1">
        <w:r w:rsidRPr="003765D3">
          <w:rPr>
            <w:rFonts w:ascii="Arial" w:eastAsia="Times New Roman" w:hAnsi="Arial" w:cs="Arial"/>
            <w:color w:val="00905A"/>
            <w:u w:val="single"/>
          </w:rPr>
          <w:t>"Clinical and laboratory aspects of platelet transfusion therapy", section on 'Complications of platelet transfusion'</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lastRenderedPageBreak/>
        <w:t>Other hemostatic agents may be used in cases of severe bleeding that does not respond to platelet transfusions: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hyperlink r:id="rId67" w:history="1">
        <w:r w:rsidRPr="003765D3">
          <w:rPr>
            <w:rFonts w:ascii="Arial" w:eastAsia="Times New Roman" w:hAnsi="Arial" w:cs="Arial"/>
            <w:color w:val="00905A"/>
            <w:u w:val="single"/>
          </w:rPr>
          <w:t>Tranexamic acid</w:t>
        </w:r>
      </w:hyperlink>
      <w:r w:rsidRPr="003765D3">
        <w:rPr>
          <w:rFonts w:ascii="Arial" w:eastAsia="Times New Roman" w:hAnsi="Arial" w:cs="Arial"/>
        </w:rPr>
        <w:t xml:space="preserve"> is an </w:t>
      </w:r>
      <w:proofErr w:type="spellStart"/>
      <w:r w:rsidRPr="003765D3">
        <w:rPr>
          <w:rFonts w:ascii="Arial" w:eastAsia="Times New Roman" w:hAnsi="Arial" w:cs="Arial"/>
        </w:rPr>
        <w:t>antifibrinolytic</w:t>
      </w:r>
      <w:proofErr w:type="spellEnd"/>
      <w:r w:rsidRPr="003765D3">
        <w:rPr>
          <w:rFonts w:ascii="Arial" w:eastAsia="Times New Roman" w:hAnsi="Arial" w:cs="Arial"/>
        </w:rPr>
        <w:t xml:space="preserve"> agent that prevents fibrin degradation, stabilizing clot formation. It can be administered orally (1 to 1.5 g three to four times daily) or intravenously (1 g over 10 minutes, followed by 1 g over the next eight hours). (See </w:t>
      </w:r>
      <w:hyperlink r:id="rId68" w:anchor="H32" w:history="1">
        <w:r w:rsidRPr="003765D3">
          <w:rPr>
            <w:rFonts w:ascii="Arial" w:eastAsia="Times New Roman" w:hAnsi="Arial" w:cs="Arial"/>
            <w:color w:val="00905A"/>
            <w:u w:val="single"/>
          </w:rPr>
          <w:t>"Thrombotic and hemorrhagic disorders due to abnormal fibrinolysis", section on 'Tranexamic acid and epsilon-</w:t>
        </w:r>
        <w:proofErr w:type="spellStart"/>
        <w:r w:rsidRPr="003765D3">
          <w:rPr>
            <w:rFonts w:ascii="Arial" w:eastAsia="Times New Roman" w:hAnsi="Arial" w:cs="Arial"/>
            <w:color w:val="00905A"/>
            <w:u w:val="single"/>
          </w:rPr>
          <w:t>aminocaproic</w:t>
        </w:r>
        <w:proofErr w:type="spellEnd"/>
        <w:r w:rsidRPr="003765D3">
          <w:rPr>
            <w:rFonts w:ascii="Arial" w:eastAsia="Times New Roman" w:hAnsi="Arial" w:cs="Arial"/>
            <w:color w:val="00905A"/>
            <w:u w:val="single"/>
          </w:rPr>
          <w:t xml:space="preserve"> acid'</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proofErr w:type="spellStart"/>
      <w:r w:rsidRPr="003765D3">
        <w:rPr>
          <w:rFonts w:ascii="Arial" w:eastAsia="Times New Roman" w:hAnsi="Arial" w:cs="Arial"/>
        </w:rPr>
        <w:fldChar w:fldCharType="begin"/>
      </w:r>
      <w:r w:rsidRPr="003765D3">
        <w:rPr>
          <w:rFonts w:ascii="Arial" w:eastAsia="Times New Roman" w:hAnsi="Arial" w:cs="Arial"/>
        </w:rPr>
        <w:instrText xml:space="preserve"> HYPERLINK "https://www.uptodate.com/contents/aminocaproic-acid-drug-information?source=see_link" </w:instrText>
      </w:r>
      <w:r w:rsidRPr="003765D3">
        <w:rPr>
          <w:rFonts w:ascii="Arial" w:eastAsia="Times New Roman" w:hAnsi="Arial" w:cs="Arial"/>
        </w:rPr>
        <w:fldChar w:fldCharType="separate"/>
      </w:r>
      <w:r w:rsidRPr="003765D3">
        <w:rPr>
          <w:rFonts w:ascii="Arial" w:eastAsia="Times New Roman" w:hAnsi="Arial" w:cs="Arial"/>
          <w:color w:val="00905A"/>
          <w:u w:val="single"/>
        </w:rPr>
        <w:t>Aminocaproic</w:t>
      </w:r>
      <w:proofErr w:type="spellEnd"/>
      <w:r w:rsidRPr="003765D3">
        <w:rPr>
          <w:rFonts w:ascii="Arial" w:eastAsia="Times New Roman" w:hAnsi="Arial" w:cs="Arial"/>
          <w:color w:val="00905A"/>
          <w:u w:val="single"/>
        </w:rPr>
        <w:t xml:space="preserve"> acid</w:t>
      </w:r>
      <w:r w:rsidRPr="003765D3">
        <w:rPr>
          <w:rFonts w:ascii="Arial" w:eastAsia="Times New Roman" w:hAnsi="Arial" w:cs="Arial"/>
        </w:rPr>
        <w:fldChar w:fldCharType="end"/>
      </w:r>
      <w:r w:rsidRPr="003765D3">
        <w:rPr>
          <w:rFonts w:ascii="Arial" w:eastAsia="Times New Roman" w:hAnsi="Arial" w:cs="Arial"/>
        </w:rPr>
        <w:t xml:space="preserve"> (also called epsilon </w:t>
      </w:r>
      <w:proofErr w:type="spellStart"/>
      <w:r w:rsidRPr="003765D3">
        <w:rPr>
          <w:rFonts w:ascii="Arial" w:eastAsia="Times New Roman" w:hAnsi="Arial" w:cs="Arial"/>
        </w:rPr>
        <w:t>aminocaproic</w:t>
      </w:r>
      <w:proofErr w:type="spellEnd"/>
      <w:r w:rsidRPr="003765D3">
        <w:rPr>
          <w:rFonts w:ascii="Arial" w:eastAsia="Times New Roman" w:hAnsi="Arial" w:cs="Arial"/>
        </w:rPr>
        <w:t xml:space="preserve"> acid [EACA]) is another </w:t>
      </w:r>
      <w:proofErr w:type="spellStart"/>
      <w:r w:rsidRPr="003765D3">
        <w:rPr>
          <w:rFonts w:ascii="Arial" w:eastAsia="Times New Roman" w:hAnsi="Arial" w:cs="Arial"/>
        </w:rPr>
        <w:t>antifibrinolytic</w:t>
      </w:r>
      <w:proofErr w:type="spellEnd"/>
      <w:r w:rsidRPr="003765D3">
        <w:rPr>
          <w:rFonts w:ascii="Arial" w:eastAsia="Times New Roman" w:hAnsi="Arial" w:cs="Arial"/>
        </w:rPr>
        <w:t xml:space="preserve"> agent that may be an appropriate adjunctive measure for treatment of bleeding. Three reports have described successful management of critical, sustained bleeding in patients with ITP and other causes for thrombocytopenia, typically using doses in the range of 4 to 12 g/day, administered orally or intravenously for several days up to several months [</w:t>
      </w:r>
      <w:hyperlink r:id="rId69" w:history="1">
        <w:r w:rsidRPr="003765D3">
          <w:rPr>
            <w:rFonts w:ascii="Arial" w:eastAsia="Times New Roman" w:hAnsi="Arial" w:cs="Arial"/>
            <w:color w:val="00905A"/>
            <w:u w:val="single"/>
          </w:rPr>
          <w:t>21-23</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 xml:space="preserve">Activated factor VII (factor </w:t>
      </w:r>
      <w:proofErr w:type="spellStart"/>
      <w:r w:rsidRPr="003765D3">
        <w:rPr>
          <w:rFonts w:ascii="Arial" w:eastAsia="Times New Roman" w:hAnsi="Arial" w:cs="Arial"/>
        </w:rPr>
        <w:t>VIIa</w:t>
      </w:r>
      <w:proofErr w:type="spellEnd"/>
      <w:r w:rsidRPr="003765D3">
        <w:rPr>
          <w:rFonts w:ascii="Arial" w:eastAsia="Times New Roman" w:hAnsi="Arial" w:cs="Arial"/>
        </w:rPr>
        <w:t xml:space="preserve">) in large doses appears to bypass the need for tissue factor in activating coagulation. Intravenous recombinant factor </w:t>
      </w:r>
      <w:proofErr w:type="spellStart"/>
      <w:r w:rsidRPr="003765D3">
        <w:rPr>
          <w:rFonts w:ascii="Arial" w:eastAsia="Times New Roman" w:hAnsi="Arial" w:cs="Arial"/>
        </w:rPr>
        <w:t>VIIa</w:t>
      </w:r>
      <w:proofErr w:type="spellEnd"/>
      <w:r w:rsidRPr="003765D3">
        <w:rPr>
          <w:rFonts w:ascii="Arial" w:eastAsia="Times New Roman" w:hAnsi="Arial" w:cs="Arial"/>
        </w:rPr>
        <w:t xml:space="preserve"> may be effective in cases of critical bleeding that continues after platelet transfusions, IVIG, and </w:t>
      </w:r>
      <w:hyperlink r:id="rId70" w:history="1">
        <w:r w:rsidRPr="003765D3">
          <w:rPr>
            <w:rFonts w:ascii="Arial" w:eastAsia="Times New Roman" w:hAnsi="Arial" w:cs="Arial"/>
            <w:color w:val="00905A"/>
            <w:u w:val="single"/>
          </w:rPr>
          <w:t>methylprednisolone</w:t>
        </w:r>
      </w:hyperlink>
      <w:r w:rsidRPr="003765D3">
        <w:rPr>
          <w:rFonts w:ascii="Arial" w:eastAsia="Times New Roman" w:hAnsi="Arial" w:cs="Arial"/>
        </w:rPr>
        <w:t>. Use of this product is discussed separately. (See </w:t>
      </w:r>
      <w:hyperlink r:id="rId71" w:anchor="H12" w:history="1">
        <w:r w:rsidRPr="003765D3">
          <w:rPr>
            <w:rFonts w:ascii="Arial" w:eastAsia="Times New Roman" w:hAnsi="Arial" w:cs="Arial"/>
            <w:color w:val="00905A"/>
            <w:u w:val="single"/>
          </w:rPr>
          <w:t xml:space="preserve">"Recombinant factor </w:t>
        </w:r>
        <w:proofErr w:type="spellStart"/>
        <w:r w:rsidRPr="003765D3">
          <w:rPr>
            <w:rFonts w:ascii="Arial" w:eastAsia="Times New Roman" w:hAnsi="Arial" w:cs="Arial"/>
            <w:color w:val="00905A"/>
            <w:u w:val="single"/>
          </w:rPr>
          <w:t>VIIa</w:t>
        </w:r>
        <w:proofErr w:type="spellEnd"/>
        <w:r w:rsidRPr="003765D3">
          <w:rPr>
            <w:rFonts w:ascii="Arial" w:eastAsia="Times New Roman" w:hAnsi="Arial" w:cs="Arial"/>
            <w:color w:val="00905A"/>
            <w:u w:val="single"/>
          </w:rPr>
          <w:t>: Clinical uses, dosing, and adverse effects", section on 'Off-label experience'</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FIRST-LINE THERAPIES</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Choice of first-line therapy</w:t>
      </w:r>
      <w:r w:rsidRPr="003765D3">
        <w:rPr>
          <w:rFonts w:ascii="Arial" w:eastAsia="Times New Roman" w:hAnsi="Arial" w:cs="Arial"/>
        </w:rPr>
        <w:t> — </w:t>
      </w:r>
      <w:proofErr w:type="gramStart"/>
      <w:r w:rsidRPr="003765D3">
        <w:rPr>
          <w:rFonts w:ascii="Arial" w:eastAsia="Times New Roman" w:hAnsi="Arial" w:cs="Arial"/>
        </w:rPr>
        <w:t>The</w:t>
      </w:r>
      <w:proofErr w:type="gramEnd"/>
      <w:r w:rsidRPr="003765D3">
        <w:rPr>
          <w:rFonts w:ascii="Arial" w:eastAsia="Times New Roman" w:hAnsi="Arial" w:cs="Arial"/>
        </w:rPr>
        <w:t xml:space="preserve"> most commonly used agents for initial treatment of ITP for those who require it are glucocorticoids and intravenous </w:t>
      </w:r>
      <w:hyperlink r:id="rId72" w:history="1">
        <w:r w:rsidRPr="003765D3">
          <w:rPr>
            <w:rFonts w:ascii="Arial" w:eastAsia="Times New Roman" w:hAnsi="Arial" w:cs="Arial"/>
            <w:color w:val="00905A"/>
            <w:u w:val="single"/>
          </w:rPr>
          <w:t>immune globulin</w:t>
        </w:r>
      </w:hyperlink>
      <w:r w:rsidRPr="003765D3">
        <w:rPr>
          <w:rFonts w:ascii="Arial" w:eastAsia="Times New Roman" w:hAnsi="Arial" w:cs="Arial"/>
        </w:rPr>
        <w:t> (IVIG). Intravenous anti-</w:t>
      </w:r>
      <w:proofErr w:type="spellStart"/>
      <w:r w:rsidRPr="003765D3">
        <w:rPr>
          <w:rFonts w:ascii="Arial" w:eastAsia="Times New Roman" w:hAnsi="Arial" w:cs="Arial"/>
        </w:rPr>
        <w:t>RhD</w:t>
      </w:r>
      <w:proofErr w:type="spellEnd"/>
      <w:r w:rsidRPr="003765D3">
        <w:rPr>
          <w:rFonts w:ascii="Arial" w:eastAsia="Times New Roman" w:hAnsi="Arial" w:cs="Arial"/>
        </w:rPr>
        <w:t xml:space="preserve"> is a type of immune globulin that may be effective in patients who have an Rh</w:t>
      </w:r>
      <w:r w:rsidRPr="003765D3">
        <w:rPr>
          <w:rFonts w:ascii="Arial" w:eastAsia="Times New Roman" w:hAnsi="Arial" w:cs="Arial"/>
          <w:sz w:val="16"/>
          <w:szCs w:val="16"/>
          <w:vertAlign w:val="superscript"/>
        </w:rPr>
        <w:t>+</w:t>
      </w:r>
      <w:r w:rsidRPr="003765D3">
        <w:rPr>
          <w:rFonts w:ascii="Arial" w:eastAsia="Times New Roman" w:hAnsi="Arial" w:cs="Arial"/>
        </w:rPr>
        <w:t> blood type and have not had a splenectomy.</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For patients who require therapy, we suggest glucocorticoids rather than IVIG because glucocorticoids are easy to administer and lower in cost; short-term glucocorticoid administration is generally safe and well-tolerated. (See </w:t>
      </w:r>
      <w:hyperlink r:id="rId73" w:anchor="H6" w:history="1">
        <w:r w:rsidRPr="003765D3">
          <w:rPr>
            <w:rFonts w:ascii="Arial" w:eastAsia="Times New Roman" w:hAnsi="Arial" w:cs="Arial"/>
            <w:color w:val="00905A"/>
            <w:u w:val="single"/>
          </w:rPr>
          <w:t>'Glucocorticoids'</w:t>
        </w:r>
      </w:hyperlink>
      <w:r w:rsidRPr="003765D3">
        <w:rPr>
          <w:rFonts w:ascii="Arial" w:eastAsia="Times New Roman" w:hAnsi="Arial" w:cs="Arial"/>
        </w:rPr>
        <w:t> below.)</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However, IVIG raises the platelet count more rapidly than glucocorticoids (</w:t>
      </w:r>
      <w:hyperlink r:id="rId74" w:history="1">
        <w:r w:rsidRPr="003765D3">
          <w:rPr>
            <w:rFonts w:ascii="Arial" w:eastAsia="Times New Roman" w:hAnsi="Arial" w:cs="Arial"/>
            <w:color w:val="00905A"/>
            <w:u w:val="single"/>
          </w:rPr>
          <w:t>table 2</w:t>
        </w:r>
      </w:hyperlink>
      <w:r w:rsidRPr="003765D3">
        <w:rPr>
          <w:rFonts w:ascii="Arial" w:eastAsia="Times New Roman" w:hAnsi="Arial" w:cs="Arial"/>
        </w:rPr>
        <w:t>); IVIG is therefore often used for patients with active bleeding, patients who need an urgent invasive procedure, or patients who experience side effects with glucocorticoids. (See </w:t>
      </w:r>
      <w:hyperlink r:id="rId75" w:anchor="H10" w:history="1">
        <w:r w:rsidRPr="003765D3">
          <w:rPr>
            <w:rFonts w:ascii="Arial" w:eastAsia="Times New Roman" w:hAnsi="Arial" w:cs="Arial"/>
            <w:color w:val="00905A"/>
            <w:u w:val="single"/>
          </w:rPr>
          <w:t>'IVIG'</w:t>
        </w:r>
      </w:hyperlink>
      <w:r w:rsidRPr="003765D3">
        <w:rPr>
          <w:rFonts w:ascii="Arial" w:eastAsia="Times New Roman" w:hAnsi="Arial" w:cs="Arial"/>
        </w:rPr>
        <w:t> below.)</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The efficacy of glucocorticoids compared with IVIG was demonstrated in a trial that randomized 122 adults with previously untreated, acute primary ITP (platelet count ≤20,000/</w:t>
      </w:r>
      <w:proofErr w:type="spellStart"/>
      <w:r w:rsidRPr="003765D3">
        <w:rPr>
          <w:rFonts w:ascii="Arial" w:eastAsia="Times New Roman" w:hAnsi="Arial" w:cs="Arial"/>
        </w:rPr>
        <w:t>microL</w:t>
      </w:r>
      <w:proofErr w:type="spellEnd"/>
      <w:r w:rsidRPr="003765D3">
        <w:rPr>
          <w:rFonts w:ascii="Arial" w:eastAsia="Times New Roman" w:hAnsi="Arial" w:cs="Arial"/>
        </w:rPr>
        <w:t>) to intravenous high-dose </w:t>
      </w:r>
      <w:hyperlink r:id="rId76" w:history="1">
        <w:r w:rsidRPr="003765D3">
          <w:rPr>
            <w:rFonts w:ascii="Arial" w:eastAsia="Times New Roman" w:hAnsi="Arial" w:cs="Arial"/>
            <w:color w:val="00905A"/>
            <w:u w:val="single"/>
          </w:rPr>
          <w:t>methylprednisolone</w:t>
        </w:r>
      </w:hyperlink>
      <w:r w:rsidRPr="003765D3">
        <w:rPr>
          <w:rFonts w:ascii="Arial" w:eastAsia="Times New Roman" w:hAnsi="Arial" w:cs="Arial"/>
        </w:rPr>
        <w:t> (HDMP; 15 mg/kg per day on days 1 to 3) or IVIG (0.7 g/kg per day on days 1 to 3), followed by a second randomization to placebo or oral </w:t>
      </w:r>
      <w:hyperlink r:id="rId77" w:history="1">
        <w:r w:rsidRPr="003765D3">
          <w:rPr>
            <w:rFonts w:ascii="Arial" w:eastAsia="Times New Roman" w:hAnsi="Arial" w:cs="Arial"/>
            <w:color w:val="00905A"/>
            <w:u w:val="single"/>
          </w:rPr>
          <w:t>prednisone</w:t>
        </w:r>
      </w:hyperlink>
      <w:r w:rsidRPr="003765D3">
        <w:rPr>
          <w:rFonts w:ascii="Arial" w:eastAsia="Times New Roman" w:hAnsi="Arial" w:cs="Arial"/>
        </w:rPr>
        <w:t> (1 mg/kg/day) for days 4 to 21 [</w:t>
      </w:r>
      <w:hyperlink r:id="rId78" w:history="1">
        <w:r w:rsidRPr="003765D3">
          <w:rPr>
            <w:rFonts w:ascii="Arial" w:eastAsia="Times New Roman" w:hAnsi="Arial" w:cs="Arial"/>
            <w:color w:val="00905A"/>
            <w:u w:val="single"/>
          </w:rPr>
          <w:t>24</w:t>
        </w:r>
      </w:hyperlink>
      <w:r w:rsidRPr="003765D3">
        <w:rPr>
          <w:rFonts w:ascii="Arial" w:eastAsia="Times New Roman" w:hAnsi="Arial" w:cs="Arial"/>
        </w:rPr>
        <w:t>]. Patients were monitored for one year. Major results included the following:</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lastRenderedPageBreak/>
        <w:t>●</w:t>
      </w:r>
      <w:r w:rsidRPr="003765D3">
        <w:rPr>
          <w:rFonts w:ascii="Arial" w:eastAsia="Times New Roman" w:hAnsi="Arial" w:cs="Arial"/>
        </w:rPr>
        <w:t>Response rates at one year were similar in patients receiving HDMP or IVIG, and better in those who received three weeks of oral </w:t>
      </w:r>
      <w:hyperlink r:id="rId79" w:history="1">
        <w:r w:rsidRPr="003765D3">
          <w:rPr>
            <w:rFonts w:ascii="Arial" w:eastAsia="Times New Roman" w:hAnsi="Arial" w:cs="Arial"/>
            <w:color w:val="00905A"/>
            <w:u w:val="single"/>
          </w:rPr>
          <w:t>prednisone</w:t>
        </w:r>
      </w:hyperlink>
      <w:r w:rsidRPr="003765D3">
        <w:rPr>
          <w:rFonts w:ascii="Arial" w:eastAsia="Times New Roman" w:hAnsi="Arial" w:cs="Arial"/>
        </w:rPr>
        <w:t> rather than placebo in the second randomization.</w:t>
      </w:r>
    </w:p>
    <w:p w:rsidR="003765D3" w:rsidRPr="003765D3" w:rsidRDefault="003765D3" w:rsidP="003765D3">
      <w:pPr>
        <w:spacing w:before="30" w:after="30" w:line="302" w:lineRule="atLeast"/>
        <w:ind w:left="168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Responses were seen in 47 and 46 percent of patients who received HDMP or IVIG, respectively, followed by </w:t>
      </w:r>
      <w:hyperlink r:id="rId80" w:history="1">
        <w:r w:rsidRPr="003765D3">
          <w:rPr>
            <w:rFonts w:ascii="Arial" w:eastAsia="Times New Roman" w:hAnsi="Arial" w:cs="Arial"/>
            <w:color w:val="00905A"/>
            <w:u w:val="single"/>
          </w:rPr>
          <w:t>prednisone</w:t>
        </w:r>
      </w:hyperlink>
      <w:r w:rsidRPr="003765D3">
        <w:rPr>
          <w:rFonts w:ascii="Arial" w:eastAsia="Times New Roman" w:hAnsi="Arial" w:cs="Arial"/>
        </w:rPr>
        <w:t>.</w:t>
      </w:r>
    </w:p>
    <w:p w:rsidR="003765D3" w:rsidRPr="003765D3" w:rsidRDefault="003765D3" w:rsidP="003765D3">
      <w:pPr>
        <w:spacing w:before="30" w:after="30" w:line="302" w:lineRule="atLeast"/>
        <w:ind w:left="168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Responses were seen in 32 and 29 percent of patients who received HDMP or IVIG, respectively, followed by placebo.</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Receipt of IVIG was associated with a faster increase in platelet count. As an example, the platelet count on day 5 was &gt;50,000/</w:t>
      </w:r>
      <w:proofErr w:type="spellStart"/>
      <w:r w:rsidRPr="003765D3">
        <w:rPr>
          <w:rFonts w:ascii="Arial" w:eastAsia="Times New Roman" w:hAnsi="Arial" w:cs="Arial"/>
        </w:rPr>
        <w:t>microL</w:t>
      </w:r>
      <w:proofErr w:type="spellEnd"/>
      <w:r w:rsidRPr="003765D3">
        <w:rPr>
          <w:rFonts w:ascii="Arial" w:eastAsia="Times New Roman" w:hAnsi="Arial" w:cs="Arial"/>
        </w:rPr>
        <w:t> in 79 percent of patients receiving IVIG and 60 percent of patients receiving HDMP.</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Both treatments were generally well-tolerated. There were no deaths or life-threatening hemorrhages.</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Of note, younger adults may have a greater platelet count improvement following therapy than older individuals. This was illustrated in a cohort of 117 adults with ITP who were observed during approximately three years of various therapies [</w:t>
      </w:r>
      <w:hyperlink r:id="rId81" w:history="1">
        <w:r w:rsidRPr="003765D3">
          <w:rPr>
            <w:rFonts w:ascii="Arial" w:eastAsia="Times New Roman" w:hAnsi="Arial" w:cs="Arial"/>
            <w:color w:val="00905A"/>
            <w:u w:val="single"/>
          </w:rPr>
          <w:t>5</w:t>
        </w:r>
      </w:hyperlink>
      <w:r w:rsidRPr="003765D3">
        <w:rPr>
          <w:rFonts w:ascii="Arial" w:eastAsia="Times New Roman" w:hAnsi="Arial" w:cs="Arial"/>
        </w:rPr>
        <w:t>]. The number of individuals with a platelet count &gt;30,000/</w:t>
      </w:r>
      <w:proofErr w:type="spellStart"/>
      <w:r w:rsidRPr="003765D3">
        <w:rPr>
          <w:rFonts w:ascii="Arial" w:eastAsia="Times New Roman" w:hAnsi="Arial" w:cs="Arial"/>
        </w:rPr>
        <w:t>microL</w:t>
      </w:r>
      <w:proofErr w:type="spellEnd"/>
      <w:r w:rsidRPr="003765D3">
        <w:rPr>
          <w:rFonts w:ascii="Arial" w:eastAsia="Times New Roman" w:hAnsi="Arial" w:cs="Arial"/>
        </w:rPr>
        <w:t> six months after completing therapy was similar in individuals ≤60 or &gt;60 years (91 versus 87 percent, respectively); however, the percent with a platelet count &gt;100,000 was much higher in those ≤60 years (64 versus 17 percent).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Some patients who do not have a platelet count increase with one therapy may do so with the other [</w:t>
      </w:r>
      <w:hyperlink r:id="rId82" w:history="1">
        <w:r w:rsidRPr="003765D3">
          <w:rPr>
            <w:rFonts w:ascii="Arial" w:eastAsia="Times New Roman" w:hAnsi="Arial" w:cs="Arial"/>
            <w:color w:val="00905A"/>
            <w:u w:val="single"/>
          </w:rPr>
          <w:t>25</w:t>
        </w:r>
      </w:hyperlink>
      <w:r w:rsidRPr="003765D3">
        <w:rPr>
          <w:rFonts w:ascii="Arial" w:eastAsia="Times New Roman" w:hAnsi="Arial" w:cs="Arial"/>
        </w:rPr>
        <w:t>]; therefore, it may be reasonable to use IVIG in patients for whom glucocorticoids were not effective and vice versa.</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Glucocorticoids</w:t>
      </w:r>
      <w:r w:rsidRPr="003765D3">
        <w:rPr>
          <w:rFonts w:ascii="Arial" w:eastAsia="Times New Roman" w:hAnsi="Arial" w:cs="Arial"/>
        </w:rPr>
        <w:t> — </w:t>
      </w:r>
      <w:proofErr w:type="gramStart"/>
      <w:r w:rsidRPr="003765D3">
        <w:rPr>
          <w:rFonts w:ascii="Arial" w:eastAsia="Times New Roman" w:hAnsi="Arial" w:cs="Arial"/>
        </w:rPr>
        <w:t>We</w:t>
      </w:r>
      <w:proofErr w:type="gramEnd"/>
      <w:r w:rsidRPr="003765D3">
        <w:rPr>
          <w:rFonts w:ascii="Arial" w:eastAsia="Times New Roman" w:hAnsi="Arial" w:cs="Arial"/>
        </w:rPr>
        <w:t xml:space="preserve"> suggest glucocorticoids as first-line ITP therapy in patients who require treatment. Glucocorticoids raise the platelet count in approximately two-thirds of patients, with most patients responding within two to five days. Complete long-term remissions with glucocorticoids have been reported in approximately 20 percent of patients, based on uncontrolled studies. The mechanism is uncertain but may involve increased apoptotic death of autoantibody-producing lymphocytes and downregulation of macrophage activity responsible for platelet phagocytosis [</w:t>
      </w:r>
      <w:hyperlink r:id="rId83" w:history="1">
        <w:r w:rsidRPr="003765D3">
          <w:rPr>
            <w:rFonts w:ascii="Arial" w:eastAsia="Times New Roman" w:hAnsi="Arial" w:cs="Arial"/>
            <w:color w:val="00905A"/>
            <w:u w:val="single"/>
          </w:rPr>
          <w:t>26</w:t>
        </w:r>
      </w:hyperlink>
      <w:r w:rsidRPr="003765D3">
        <w:rPr>
          <w:rFonts w:ascii="Arial" w:eastAsia="Times New Roman" w:hAnsi="Arial" w:cs="Arial"/>
        </w:rPr>
        <w:t>]. (See </w:t>
      </w:r>
      <w:hyperlink r:id="rId84" w:history="1">
        <w:r w:rsidRPr="003765D3">
          <w:rPr>
            <w:rFonts w:ascii="Arial" w:eastAsia="Times New Roman" w:hAnsi="Arial" w:cs="Arial"/>
            <w:color w:val="00905A"/>
            <w:u w:val="single"/>
          </w:rPr>
          <w:t>"Glucocorticoid effects on the immune system"</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The most common treatment regimens are high-dose </w:t>
      </w:r>
      <w:hyperlink r:id="rId85" w:history="1">
        <w:r w:rsidRPr="003765D3">
          <w:rPr>
            <w:rFonts w:ascii="Arial" w:eastAsia="Times New Roman" w:hAnsi="Arial" w:cs="Arial"/>
            <w:color w:val="00905A"/>
            <w:u w:val="single"/>
          </w:rPr>
          <w:t>dexamethasone</w:t>
        </w:r>
      </w:hyperlink>
      <w:r w:rsidRPr="003765D3">
        <w:rPr>
          <w:rFonts w:ascii="Arial" w:eastAsia="Times New Roman" w:hAnsi="Arial" w:cs="Arial"/>
        </w:rPr>
        <w:t>, typically administered as 40 mg orally per day for 4 days with no taper, or oral </w:t>
      </w:r>
      <w:hyperlink r:id="rId86" w:history="1">
        <w:r w:rsidRPr="003765D3">
          <w:rPr>
            <w:rFonts w:ascii="Arial" w:eastAsia="Times New Roman" w:hAnsi="Arial" w:cs="Arial"/>
            <w:color w:val="00905A"/>
            <w:u w:val="single"/>
          </w:rPr>
          <w:t>prednisone</w:t>
        </w:r>
      </w:hyperlink>
      <w:r w:rsidRPr="003765D3">
        <w:rPr>
          <w:rFonts w:ascii="Arial" w:eastAsia="Times New Roman" w:hAnsi="Arial" w:cs="Arial"/>
        </w:rPr>
        <w:t> at 1 mg/kg daily for one to two weeks followed by a gradual taper. For most patients, we suggest high-dose dexamethasone because this option avoids prolonged exposures to oral prednisone, which can be associated with significant toxicities. High-dose dexamethasone also appears to work more rapidly.</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Our preference for high-dose </w:t>
      </w:r>
      <w:hyperlink r:id="rId87" w:history="1">
        <w:r w:rsidRPr="003765D3">
          <w:rPr>
            <w:rFonts w:ascii="Arial" w:eastAsia="Times New Roman" w:hAnsi="Arial" w:cs="Arial"/>
            <w:color w:val="00905A"/>
            <w:u w:val="single"/>
          </w:rPr>
          <w:t>dexamethasone</w:t>
        </w:r>
      </w:hyperlink>
      <w:r w:rsidRPr="003765D3">
        <w:rPr>
          <w:rFonts w:ascii="Arial" w:eastAsia="Times New Roman" w:hAnsi="Arial" w:cs="Arial"/>
        </w:rPr>
        <w:t> is supported by a 2016 meta-analysis of nine randomized trials (1138 patients) that compared outcomes for different glucocorticoid regimens for previously untreated ITP [</w:t>
      </w:r>
      <w:hyperlink r:id="rId88" w:history="1">
        <w:r w:rsidRPr="003765D3">
          <w:rPr>
            <w:rFonts w:ascii="Arial" w:eastAsia="Times New Roman" w:hAnsi="Arial" w:cs="Arial"/>
            <w:color w:val="00905A"/>
            <w:u w:val="single"/>
          </w:rPr>
          <w:t>27</w:t>
        </w:r>
      </w:hyperlink>
      <w:r w:rsidRPr="003765D3">
        <w:rPr>
          <w:rFonts w:ascii="Arial" w:eastAsia="Times New Roman" w:hAnsi="Arial" w:cs="Arial"/>
        </w:rPr>
        <w:t>]. The typical dose of </w:t>
      </w:r>
      <w:hyperlink r:id="rId89" w:history="1">
        <w:r w:rsidRPr="003765D3">
          <w:rPr>
            <w:rFonts w:ascii="Arial" w:eastAsia="Times New Roman" w:hAnsi="Arial" w:cs="Arial"/>
            <w:color w:val="00905A"/>
            <w:u w:val="single"/>
          </w:rPr>
          <w:t>prednisone</w:t>
        </w:r>
      </w:hyperlink>
      <w:r w:rsidRPr="003765D3">
        <w:rPr>
          <w:rFonts w:ascii="Arial" w:eastAsia="Times New Roman" w:hAnsi="Arial" w:cs="Arial"/>
        </w:rPr>
        <w:t> was 1 mg/kg orally for two to four weeks; for high-dose dexamethasone, it was 40 mg per day for four days, administered for one to three cycles. Compared with prednisone, dexamethasone was associated with:</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lastRenderedPageBreak/>
        <w:t>●</w:t>
      </w:r>
      <w:r w:rsidRPr="003765D3">
        <w:rPr>
          <w:rFonts w:ascii="Arial" w:eastAsia="Times New Roman" w:hAnsi="Arial" w:cs="Arial"/>
        </w:rPr>
        <w:t>A better overall response (platelet count &gt;30,000/</w:t>
      </w:r>
      <w:proofErr w:type="spellStart"/>
      <w:r w:rsidRPr="003765D3">
        <w:rPr>
          <w:rFonts w:ascii="Arial" w:eastAsia="Times New Roman" w:hAnsi="Arial" w:cs="Arial"/>
        </w:rPr>
        <w:t>microL</w:t>
      </w:r>
      <w:proofErr w:type="spellEnd"/>
      <w:r w:rsidRPr="003765D3">
        <w:rPr>
          <w:rFonts w:ascii="Arial" w:eastAsia="Times New Roman" w:hAnsi="Arial" w:cs="Arial"/>
        </w:rPr>
        <w:t>) at two weeks (59 versus 79 percent; risk ratio [RR] 1.22, 95% CI 1.00-1.49)</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A better complete response (platelet count &gt;100,000/</w:t>
      </w:r>
      <w:proofErr w:type="spellStart"/>
      <w:r w:rsidRPr="003765D3">
        <w:rPr>
          <w:rFonts w:ascii="Arial" w:eastAsia="Times New Roman" w:hAnsi="Arial" w:cs="Arial"/>
        </w:rPr>
        <w:t>microL</w:t>
      </w:r>
      <w:proofErr w:type="spellEnd"/>
      <w:r w:rsidRPr="003765D3">
        <w:rPr>
          <w:rFonts w:ascii="Arial" w:eastAsia="Times New Roman" w:hAnsi="Arial" w:cs="Arial"/>
        </w:rPr>
        <w:t>) at two weeks (36 versus 64 percent; RR 1.67, 95% CI 1.02-2.72)</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Fewer bleeding events during the first 10 days (24 versus 12 percent of patients)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No difference in overall or complete response at six months (43 versus 54 percent; RR 1.16, 95% CI 0.79-1.71)</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Fewer toxicities (46 versus 24 adverse events per 100 patients). In the </w:t>
      </w:r>
      <w:hyperlink r:id="rId90" w:history="1">
        <w:r w:rsidRPr="003765D3">
          <w:rPr>
            <w:rFonts w:ascii="Arial" w:eastAsia="Times New Roman" w:hAnsi="Arial" w:cs="Arial"/>
            <w:color w:val="00905A"/>
            <w:u w:val="single"/>
          </w:rPr>
          <w:t>prednisone</w:t>
        </w:r>
      </w:hyperlink>
      <w:r w:rsidRPr="003765D3">
        <w:rPr>
          <w:rFonts w:ascii="Arial" w:eastAsia="Times New Roman" w:hAnsi="Arial" w:cs="Arial"/>
        </w:rPr>
        <w:t> group, one-fifth of adverse events were weight gain.</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Observational studies with high-dose </w:t>
      </w:r>
      <w:hyperlink r:id="rId91" w:history="1">
        <w:r w:rsidRPr="003765D3">
          <w:rPr>
            <w:rFonts w:ascii="Arial" w:eastAsia="Times New Roman" w:hAnsi="Arial" w:cs="Arial"/>
            <w:color w:val="00905A"/>
            <w:u w:val="single"/>
          </w:rPr>
          <w:t>dexamethasone</w:t>
        </w:r>
      </w:hyperlink>
      <w:r w:rsidRPr="003765D3">
        <w:rPr>
          <w:rFonts w:ascii="Arial" w:eastAsia="Times New Roman" w:hAnsi="Arial" w:cs="Arial"/>
        </w:rPr>
        <w:t> also have reported excellent efficacy, in the range of 80 to 90 percent [</w:t>
      </w:r>
      <w:hyperlink r:id="rId92" w:history="1">
        <w:r w:rsidRPr="003765D3">
          <w:rPr>
            <w:rFonts w:ascii="Arial" w:eastAsia="Times New Roman" w:hAnsi="Arial" w:cs="Arial"/>
            <w:color w:val="00905A"/>
            <w:u w:val="single"/>
          </w:rPr>
          <w:t>28</w:t>
        </w:r>
        <w:proofErr w:type="gramStart"/>
        <w:r w:rsidRPr="003765D3">
          <w:rPr>
            <w:rFonts w:ascii="Arial" w:eastAsia="Times New Roman" w:hAnsi="Arial" w:cs="Arial"/>
            <w:color w:val="00905A"/>
            <w:u w:val="single"/>
          </w:rPr>
          <w:t>,29</w:t>
        </w:r>
        <w:proofErr w:type="gramEnd"/>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 xml:space="preserve">The relative </w:t>
      </w:r>
      <w:proofErr w:type="spellStart"/>
      <w:r w:rsidRPr="003765D3">
        <w:rPr>
          <w:rFonts w:ascii="Arial" w:eastAsia="Times New Roman" w:hAnsi="Arial" w:cs="Arial"/>
        </w:rPr>
        <w:t>antiinflammatory</w:t>
      </w:r>
      <w:proofErr w:type="spellEnd"/>
      <w:r w:rsidRPr="003765D3">
        <w:rPr>
          <w:rFonts w:ascii="Arial" w:eastAsia="Times New Roman" w:hAnsi="Arial" w:cs="Arial"/>
        </w:rPr>
        <w:t xml:space="preserve"> potencies of various glucocorticoids are shown in the table (</w:t>
      </w:r>
      <w:hyperlink r:id="rId93" w:history="1">
        <w:r w:rsidRPr="003765D3">
          <w:rPr>
            <w:rFonts w:ascii="Arial" w:eastAsia="Times New Roman" w:hAnsi="Arial" w:cs="Arial"/>
            <w:color w:val="00905A"/>
            <w:u w:val="single"/>
          </w:rPr>
          <w:t>table 3</w:t>
        </w:r>
      </w:hyperlink>
      <w:r w:rsidRPr="003765D3">
        <w:rPr>
          <w:rFonts w:ascii="Arial" w:eastAsia="Times New Roman" w:hAnsi="Arial" w:cs="Arial"/>
        </w:rPr>
        <w:t>). </w:t>
      </w:r>
      <w:hyperlink r:id="rId94" w:history="1">
        <w:r w:rsidRPr="003765D3">
          <w:rPr>
            <w:rFonts w:ascii="Arial" w:eastAsia="Times New Roman" w:hAnsi="Arial" w:cs="Arial"/>
            <w:color w:val="00905A"/>
            <w:u w:val="single"/>
          </w:rPr>
          <w:t>Dexamethasone</w:t>
        </w:r>
      </w:hyperlink>
      <w:r w:rsidRPr="003765D3">
        <w:rPr>
          <w:rFonts w:ascii="Arial" w:eastAsia="Times New Roman" w:hAnsi="Arial" w:cs="Arial"/>
        </w:rPr>
        <w:t> 40 mg daily is approximately equivalent to </w:t>
      </w:r>
      <w:hyperlink r:id="rId95" w:history="1">
        <w:r w:rsidRPr="003765D3">
          <w:rPr>
            <w:rFonts w:ascii="Arial" w:eastAsia="Times New Roman" w:hAnsi="Arial" w:cs="Arial"/>
            <w:color w:val="00905A"/>
            <w:u w:val="single"/>
          </w:rPr>
          <w:t>prednisone</w:t>
        </w:r>
      </w:hyperlink>
      <w:r w:rsidRPr="003765D3">
        <w:rPr>
          <w:rFonts w:ascii="Arial" w:eastAsia="Times New Roman" w:hAnsi="Arial" w:cs="Arial"/>
        </w:rPr>
        <w:t> 4 mg/kg daily based on a per mg potency approximately 7.5 times greater than prednisone.</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An increased or normalized platelet count is generally seen within two weeks of therapy; platelet count response after high-dose </w:t>
      </w:r>
      <w:hyperlink r:id="rId96" w:history="1">
        <w:r w:rsidRPr="003765D3">
          <w:rPr>
            <w:rFonts w:ascii="Arial" w:eastAsia="Times New Roman" w:hAnsi="Arial" w:cs="Arial"/>
            <w:color w:val="00905A"/>
            <w:u w:val="single"/>
          </w:rPr>
          <w:t>dexamethasone</w:t>
        </w:r>
      </w:hyperlink>
      <w:r w:rsidRPr="003765D3">
        <w:rPr>
          <w:rFonts w:ascii="Arial" w:eastAsia="Times New Roman" w:hAnsi="Arial" w:cs="Arial"/>
        </w:rPr>
        <w:t> generally occurs faster than </w:t>
      </w:r>
      <w:hyperlink r:id="rId97" w:history="1">
        <w:r w:rsidRPr="003765D3">
          <w:rPr>
            <w:rFonts w:ascii="Arial" w:eastAsia="Times New Roman" w:hAnsi="Arial" w:cs="Arial"/>
            <w:color w:val="00905A"/>
            <w:u w:val="single"/>
          </w:rPr>
          <w:t>prednisone</w:t>
        </w:r>
      </w:hyperlink>
      <w:r w:rsidRPr="003765D3">
        <w:rPr>
          <w:rFonts w:ascii="Arial" w:eastAsia="Times New Roman" w:hAnsi="Arial" w:cs="Arial"/>
        </w:rPr>
        <w:t>. However, platelet count recovery may require more than one course (for high-dose dexamethasone) or several weeks of administration (for oral prednisone). Once the platelet count normalizes or rises significantly and plateaus (</w:t>
      </w:r>
      <w:proofErr w:type="spellStart"/>
      <w:r w:rsidRPr="003765D3">
        <w:rPr>
          <w:rFonts w:ascii="Arial" w:eastAsia="Times New Roman" w:hAnsi="Arial" w:cs="Arial"/>
        </w:rPr>
        <w:t>eg</w:t>
      </w:r>
      <w:proofErr w:type="spellEnd"/>
      <w:r w:rsidRPr="003765D3">
        <w:rPr>
          <w:rFonts w:ascii="Arial" w:eastAsia="Times New Roman" w:hAnsi="Arial" w:cs="Arial"/>
        </w:rPr>
        <w:t>, to &gt;50,000/</w:t>
      </w:r>
      <w:proofErr w:type="spellStart"/>
      <w:r w:rsidRPr="003765D3">
        <w:rPr>
          <w:rFonts w:ascii="Arial" w:eastAsia="Times New Roman" w:hAnsi="Arial" w:cs="Arial"/>
        </w:rPr>
        <w:t>microL</w:t>
      </w:r>
      <w:proofErr w:type="spellEnd"/>
      <w:r w:rsidRPr="003765D3">
        <w:rPr>
          <w:rFonts w:ascii="Arial" w:eastAsia="Times New Roman" w:hAnsi="Arial" w:cs="Arial"/>
        </w:rPr>
        <w:t>), no additional therapy is needed. For individuals who have received more than one or two weeks of daily prednisone, the dose is tapered. There is no standard duration of the taper, and hematologists vary on their preference for a more rapid taper to reduce toxicities versus a more gradual taper to increase the chance of remission. Our practice is to taper and discontinue prednisone as rapidly as possible, usually over eight to ten weeks. If the platelet count falls during the taper, we prefer using other therapies (</w:t>
      </w:r>
      <w:proofErr w:type="spellStart"/>
      <w:r w:rsidRPr="003765D3">
        <w:rPr>
          <w:rFonts w:ascii="Arial" w:eastAsia="Times New Roman" w:hAnsi="Arial" w:cs="Arial"/>
        </w:rPr>
        <w:t>eg</w:t>
      </w:r>
      <w:proofErr w:type="spellEnd"/>
      <w:r w:rsidRPr="003765D3">
        <w:rPr>
          <w:rFonts w:ascii="Arial" w:eastAsia="Times New Roman" w:hAnsi="Arial" w:cs="Arial"/>
        </w:rPr>
        <w:t>, IVIG) instead of continuing a prolonged course of prednisone. Additional issues related to glucocorticoid tapering are presented separately. (See </w:t>
      </w:r>
      <w:hyperlink r:id="rId98" w:history="1">
        <w:r w:rsidRPr="003765D3">
          <w:rPr>
            <w:rFonts w:ascii="Arial" w:eastAsia="Times New Roman" w:hAnsi="Arial" w:cs="Arial"/>
            <w:color w:val="00905A"/>
            <w:u w:val="single"/>
          </w:rPr>
          <w:t>"Glucocorticoid withdrawal"</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Approximately one-fifth of adults who initially respond to glucocorticoids will maintain a stable platelet count once therapy is completed [</w:t>
      </w:r>
      <w:hyperlink r:id="rId99" w:history="1">
        <w:r w:rsidRPr="003765D3">
          <w:rPr>
            <w:rFonts w:ascii="Arial" w:eastAsia="Times New Roman" w:hAnsi="Arial" w:cs="Arial"/>
            <w:color w:val="00905A"/>
            <w:u w:val="single"/>
          </w:rPr>
          <w:t>8</w:t>
        </w:r>
        <w:proofErr w:type="gramStart"/>
        <w:r w:rsidRPr="003765D3">
          <w:rPr>
            <w:rFonts w:ascii="Arial" w:eastAsia="Times New Roman" w:hAnsi="Arial" w:cs="Arial"/>
            <w:color w:val="00905A"/>
            <w:u w:val="single"/>
          </w:rPr>
          <w:t>,10</w:t>
        </w:r>
        <w:proofErr w:type="gramEnd"/>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For individuals whose platelet count does not remain in a safe range with glucocorticoids or whose platelet count drops after discontinuation, IVIG and/or intermittent doses of glucocorticoids may be needed until more definitive second-line treatment is given. Long-term glucocorticoid administration should be avoided, as the consequences may be severe and several alternatives are available. (See </w:t>
      </w:r>
      <w:hyperlink r:id="rId100" w:history="1">
        <w:r w:rsidRPr="003765D3">
          <w:rPr>
            <w:rFonts w:ascii="Arial" w:eastAsia="Times New Roman" w:hAnsi="Arial" w:cs="Arial"/>
            <w:color w:val="00905A"/>
            <w:u w:val="single"/>
          </w:rPr>
          <w:t>"Immune thrombocytopenia (ITP) in adults: Second-line and subsequent therapies"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Glucocorticoid toxicities include short-term and long-term effects (</w:t>
      </w:r>
      <w:proofErr w:type="spellStart"/>
      <w:r w:rsidRPr="003765D3">
        <w:rPr>
          <w:rFonts w:ascii="Arial" w:eastAsia="Times New Roman" w:hAnsi="Arial" w:cs="Arial"/>
        </w:rPr>
        <w:t>eg</w:t>
      </w:r>
      <w:proofErr w:type="spellEnd"/>
      <w:r w:rsidRPr="003765D3">
        <w:rPr>
          <w:rFonts w:ascii="Arial" w:eastAsia="Times New Roman" w:hAnsi="Arial" w:cs="Arial"/>
        </w:rPr>
        <w:t xml:space="preserve">, hyperglycemia, insomnia, </w:t>
      </w:r>
      <w:proofErr w:type="spellStart"/>
      <w:r w:rsidRPr="003765D3">
        <w:rPr>
          <w:rFonts w:ascii="Arial" w:eastAsia="Times New Roman" w:hAnsi="Arial" w:cs="Arial"/>
        </w:rPr>
        <w:t>Cushingoid</w:t>
      </w:r>
      <w:proofErr w:type="spellEnd"/>
      <w:r w:rsidRPr="003765D3">
        <w:rPr>
          <w:rFonts w:ascii="Arial" w:eastAsia="Times New Roman" w:hAnsi="Arial" w:cs="Arial"/>
        </w:rPr>
        <w:t xml:space="preserve"> appearance, osteoporosis, infections, emotional lability, and cataracts) (</w:t>
      </w:r>
      <w:hyperlink r:id="rId101" w:history="1">
        <w:r w:rsidRPr="003765D3">
          <w:rPr>
            <w:rFonts w:ascii="Arial" w:eastAsia="Times New Roman" w:hAnsi="Arial" w:cs="Arial"/>
            <w:color w:val="00905A"/>
            <w:u w:val="single"/>
          </w:rPr>
          <w:t>table 4</w:t>
        </w:r>
      </w:hyperlink>
      <w:r w:rsidRPr="003765D3">
        <w:rPr>
          <w:rFonts w:ascii="Arial" w:eastAsia="Times New Roman" w:hAnsi="Arial" w:cs="Arial"/>
        </w:rPr>
        <w:t xml:space="preserve">). Some of these may be intolerable to patients; in such cases, it is appropriate to use IVIG or </w:t>
      </w:r>
      <w:r w:rsidRPr="003765D3">
        <w:rPr>
          <w:rFonts w:ascii="Arial" w:eastAsia="Times New Roman" w:hAnsi="Arial" w:cs="Arial"/>
        </w:rPr>
        <w:lastRenderedPageBreak/>
        <w:t>second-line therapies instead [</w:t>
      </w:r>
      <w:hyperlink r:id="rId102" w:history="1">
        <w:r w:rsidRPr="003765D3">
          <w:rPr>
            <w:rFonts w:ascii="Arial" w:eastAsia="Times New Roman" w:hAnsi="Arial" w:cs="Arial"/>
            <w:color w:val="00905A"/>
            <w:u w:val="single"/>
          </w:rPr>
          <w:t>30</w:t>
        </w:r>
        <w:proofErr w:type="gramStart"/>
        <w:r w:rsidRPr="003765D3">
          <w:rPr>
            <w:rFonts w:ascii="Arial" w:eastAsia="Times New Roman" w:hAnsi="Arial" w:cs="Arial"/>
            <w:color w:val="00905A"/>
            <w:u w:val="single"/>
          </w:rPr>
          <w:t>,31</w:t>
        </w:r>
        <w:proofErr w:type="gramEnd"/>
      </w:hyperlink>
      <w:r w:rsidRPr="003765D3">
        <w:rPr>
          <w:rFonts w:ascii="Arial" w:eastAsia="Times New Roman" w:hAnsi="Arial" w:cs="Arial"/>
        </w:rPr>
        <w:t>]. Patients receiving glucocorticoids for more than three months should also receive calcium and vitamin D supplementation, along with monitoring of bone mineral density, to reduce the risk of osteoporosis. (See </w:t>
      </w:r>
      <w:hyperlink r:id="rId103" w:history="1">
        <w:r w:rsidRPr="003765D3">
          <w:rPr>
            <w:rFonts w:ascii="Arial" w:eastAsia="Times New Roman" w:hAnsi="Arial" w:cs="Arial"/>
            <w:color w:val="00905A"/>
            <w:u w:val="single"/>
          </w:rPr>
          <w:t>"Major side effects of systemic glucocorticoids"</w:t>
        </w:r>
      </w:hyperlink>
      <w:r w:rsidRPr="003765D3">
        <w:rPr>
          <w:rFonts w:ascii="Arial" w:eastAsia="Times New Roman" w:hAnsi="Arial" w:cs="Arial"/>
        </w:rPr>
        <w:t> and </w:t>
      </w:r>
      <w:hyperlink r:id="rId104" w:history="1">
        <w:r w:rsidRPr="003765D3">
          <w:rPr>
            <w:rFonts w:ascii="Arial" w:eastAsia="Times New Roman" w:hAnsi="Arial" w:cs="Arial"/>
            <w:color w:val="00905A"/>
            <w:u w:val="single"/>
          </w:rPr>
          <w:t>"Glucocorticoid effects on the immune system"</w:t>
        </w:r>
      </w:hyperlink>
      <w:r w:rsidRPr="003765D3">
        <w:rPr>
          <w:rFonts w:ascii="Arial" w:eastAsia="Times New Roman" w:hAnsi="Arial" w:cs="Arial"/>
        </w:rPr>
        <w:t> and </w:t>
      </w:r>
      <w:hyperlink r:id="rId105" w:history="1">
        <w:r w:rsidRPr="003765D3">
          <w:rPr>
            <w:rFonts w:ascii="Arial" w:eastAsia="Times New Roman" w:hAnsi="Arial" w:cs="Arial"/>
            <w:color w:val="00905A"/>
            <w:u w:val="single"/>
          </w:rPr>
          <w:t>"Prevention and treatment of glucocorticoid-induced osteoporosis"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Dyspepsia may occur with glucocorticoids. Routine prophylaxis is not generally advised in asymptomatic individuals, but therapy is appropriate if the patient becomes symptomatic. (See </w:t>
      </w:r>
      <w:hyperlink r:id="rId106" w:anchor="H11" w:history="1">
        <w:r w:rsidRPr="003765D3">
          <w:rPr>
            <w:rFonts w:ascii="Arial" w:eastAsia="Times New Roman" w:hAnsi="Arial" w:cs="Arial"/>
            <w:color w:val="00905A"/>
            <w:u w:val="single"/>
          </w:rPr>
          <w:t>"Major side effects of systemic glucocorticoids", section on 'Gastrointestinal tract'</w:t>
        </w:r>
      </w:hyperlink>
      <w:r w:rsidRPr="003765D3">
        <w:rPr>
          <w:rFonts w:ascii="Arial" w:eastAsia="Times New Roman" w:hAnsi="Arial" w:cs="Arial"/>
        </w:rPr>
        <w:t> and </w:t>
      </w:r>
      <w:hyperlink r:id="rId107" w:anchor="H63380043" w:history="1">
        <w:r w:rsidRPr="003765D3">
          <w:rPr>
            <w:rFonts w:ascii="Arial" w:eastAsia="Times New Roman" w:hAnsi="Arial" w:cs="Arial"/>
            <w:color w:val="00905A"/>
            <w:u w:val="single"/>
          </w:rPr>
          <w:t>"Approach to the adult with dyspepsia", section on '</w:t>
        </w:r>
        <w:proofErr w:type="spellStart"/>
        <w:r w:rsidRPr="003765D3">
          <w:rPr>
            <w:rFonts w:ascii="Arial" w:eastAsia="Times New Roman" w:hAnsi="Arial" w:cs="Arial"/>
            <w:color w:val="00905A"/>
            <w:u w:val="single"/>
          </w:rPr>
          <w:t>Antisecretory</w:t>
        </w:r>
        <w:proofErr w:type="spellEnd"/>
        <w:r w:rsidRPr="003765D3">
          <w:rPr>
            <w:rFonts w:ascii="Arial" w:eastAsia="Times New Roman" w:hAnsi="Arial" w:cs="Arial"/>
            <w:color w:val="00905A"/>
            <w:u w:val="single"/>
          </w:rPr>
          <w:t xml:space="preserve"> therapy'</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IVIG</w:t>
      </w:r>
      <w:r w:rsidRPr="003765D3">
        <w:rPr>
          <w:rFonts w:ascii="Arial" w:eastAsia="Times New Roman" w:hAnsi="Arial" w:cs="Arial"/>
        </w:rPr>
        <w:t> — IVIG can raise the platelet count within 24 to 48 hours in most patients with ITP; this effect is reproducible enough that a platelet count response to IVIG has been used as a diagnostic criterion for ITP [</w:t>
      </w:r>
      <w:hyperlink r:id="rId108" w:history="1">
        <w:r w:rsidRPr="003765D3">
          <w:rPr>
            <w:rFonts w:ascii="Arial" w:eastAsia="Times New Roman" w:hAnsi="Arial" w:cs="Arial"/>
            <w:color w:val="00905A"/>
            <w:u w:val="single"/>
          </w:rPr>
          <w:t>32</w:t>
        </w:r>
      </w:hyperlink>
      <w:r w:rsidRPr="003765D3">
        <w:rPr>
          <w:rFonts w:ascii="Arial" w:eastAsia="Times New Roman" w:hAnsi="Arial" w:cs="Arial"/>
        </w:rPr>
        <w:t>]. The effect of IVIG is usually transient; thus it is most useful for patients who require a rapid, temporary increase in platelet count (</w:t>
      </w:r>
      <w:proofErr w:type="spellStart"/>
      <w:r w:rsidRPr="003765D3">
        <w:rPr>
          <w:rFonts w:ascii="Arial" w:eastAsia="Times New Roman" w:hAnsi="Arial" w:cs="Arial"/>
        </w:rPr>
        <w:t>eg</w:t>
      </w:r>
      <w:proofErr w:type="spellEnd"/>
      <w:r w:rsidRPr="003765D3">
        <w:rPr>
          <w:rFonts w:ascii="Arial" w:eastAsia="Times New Roman" w:hAnsi="Arial" w:cs="Arial"/>
        </w:rPr>
        <w:t>, before an urgent invasive procedure) or who are unable to tolerate glucocorticoids and are awaiting initiation of second-line therapy. IVIG increases the platelet count by interfering with macrophage uptake of autoantibody-coated platelets (</w:t>
      </w:r>
      <w:proofErr w:type="spellStart"/>
      <w:r w:rsidRPr="003765D3">
        <w:rPr>
          <w:rFonts w:ascii="Arial" w:eastAsia="Times New Roman" w:hAnsi="Arial" w:cs="Arial"/>
        </w:rPr>
        <w:t>ie</w:t>
      </w:r>
      <w:proofErr w:type="spellEnd"/>
      <w:r w:rsidRPr="003765D3">
        <w:rPr>
          <w:rFonts w:ascii="Arial" w:eastAsia="Times New Roman" w:hAnsi="Arial" w:cs="Arial"/>
        </w:rPr>
        <w:t>, "overwhelming" the reticuloendothelial system). (See </w:t>
      </w:r>
      <w:hyperlink r:id="rId109" w:anchor="H158537" w:history="1">
        <w:r w:rsidRPr="003765D3">
          <w:rPr>
            <w:rFonts w:ascii="Arial" w:eastAsia="Times New Roman" w:hAnsi="Arial" w:cs="Arial"/>
            <w:color w:val="00905A"/>
            <w:u w:val="single"/>
          </w:rPr>
          <w:t>"Overview of intravenous immune globulin (IVIG) therapy", section on 'Suppression of inflammatory/autoimmune processes'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We typically administer IVIG at 1 g/kg daily for one or two days; 1 g/kg for one day is often sufficient. Alternative dosing can also be used (</w:t>
      </w:r>
      <w:proofErr w:type="spellStart"/>
      <w:r w:rsidRPr="003765D3">
        <w:rPr>
          <w:rFonts w:ascii="Arial" w:eastAsia="Times New Roman" w:hAnsi="Arial" w:cs="Arial"/>
        </w:rPr>
        <w:t>eg</w:t>
      </w:r>
      <w:proofErr w:type="spellEnd"/>
      <w:r w:rsidRPr="003765D3">
        <w:rPr>
          <w:rFonts w:ascii="Arial" w:eastAsia="Times New Roman" w:hAnsi="Arial" w:cs="Arial"/>
        </w:rPr>
        <w:t>, 400 mg/kg daily for five days). The IVIG can be stopped when a response occurs even if the full course has not been completed.  </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The efficacy of different IVIG doses was demonstrated in a trial that randomized 35 adults with ITP to receive IVIG at either 1 g/kg or 0.5 g/kg, given as a one-time dose [</w:t>
      </w:r>
      <w:hyperlink r:id="rId110" w:history="1">
        <w:r w:rsidRPr="003765D3">
          <w:rPr>
            <w:rFonts w:ascii="Arial" w:eastAsia="Times New Roman" w:hAnsi="Arial" w:cs="Arial"/>
            <w:color w:val="00905A"/>
            <w:u w:val="single"/>
          </w:rPr>
          <w:t>33</w:t>
        </w:r>
      </w:hyperlink>
      <w:r w:rsidRPr="003765D3">
        <w:rPr>
          <w:rFonts w:ascii="Arial" w:eastAsia="Times New Roman" w:hAnsi="Arial" w:cs="Arial"/>
        </w:rPr>
        <w:t>]. Individuals receiving the 1 g/kg dose had a greater likelihood of response on day 4 than those receiving 0.5 g/kg (67 versus 24 percent). However, additional IVIG administration for a total dose of 2 g/kg brought the response rates closer together (78 and 88 percent for those who initially received 1 g/kg or 0.5 g/kg, respectively).</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Most adverse reactions to IVIG are mild and transient infusion reactions, but serious reactions can occur. Headache, hypertension, chills, allergic reactions, vomiting, and hypotension may occur during or immediately following the infusion. Other rare adverse reactions include anaphylaxis, hemolytic anemia, acute kidney injury, and thrombosis. However, the risk of thrombosis was not increased compared to control groups in a systematic review of randomized trials [</w:t>
      </w:r>
      <w:hyperlink r:id="rId111" w:history="1">
        <w:r w:rsidRPr="003765D3">
          <w:rPr>
            <w:rFonts w:ascii="Arial" w:eastAsia="Times New Roman" w:hAnsi="Arial" w:cs="Arial"/>
            <w:color w:val="00905A"/>
            <w:u w:val="single"/>
          </w:rPr>
          <w:t>34</w:t>
        </w:r>
      </w:hyperlink>
      <w:r w:rsidRPr="003765D3">
        <w:rPr>
          <w:rFonts w:ascii="Arial" w:eastAsia="Times New Roman" w:hAnsi="Arial" w:cs="Arial"/>
        </w:rPr>
        <w:t>]. IVIG is a human plasma derivative and thus has a theoretical, albeit extremely unlikely, risk of infectious transmission. (See </w:t>
      </w:r>
      <w:hyperlink r:id="rId112" w:history="1">
        <w:r w:rsidRPr="003765D3">
          <w:rPr>
            <w:rFonts w:ascii="Arial" w:eastAsia="Times New Roman" w:hAnsi="Arial" w:cs="Arial"/>
            <w:color w:val="00905A"/>
            <w:u w:val="single"/>
          </w:rPr>
          <w:t>"Intravenous immune globulin: Adverse effects"</w:t>
        </w:r>
      </w:hyperlink>
      <w:r w:rsidRPr="003765D3">
        <w:rPr>
          <w:rFonts w:ascii="Arial" w:eastAsia="Times New Roman" w:hAnsi="Arial" w:cs="Arial"/>
        </w:rPr>
        <w:t> and </w:t>
      </w:r>
      <w:hyperlink r:id="rId113" w:anchor="H7" w:history="1">
        <w:r w:rsidRPr="003765D3">
          <w:rPr>
            <w:rFonts w:ascii="Arial" w:eastAsia="Times New Roman" w:hAnsi="Arial" w:cs="Arial"/>
            <w:color w:val="00905A"/>
            <w:u w:val="single"/>
          </w:rPr>
          <w:t>"Plasma derivatives and recombinant DNA-produced coagulation factors", section on 'Immune globulins'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Anti-D</w:t>
      </w:r>
      <w:r w:rsidRPr="003765D3">
        <w:rPr>
          <w:rFonts w:ascii="Arial" w:eastAsia="Times New Roman" w:hAnsi="Arial" w:cs="Arial"/>
        </w:rPr>
        <w:t> — Anti-</w:t>
      </w:r>
      <w:proofErr w:type="gramStart"/>
      <w:r w:rsidRPr="003765D3">
        <w:rPr>
          <w:rFonts w:ascii="Arial" w:eastAsia="Times New Roman" w:hAnsi="Arial" w:cs="Arial"/>
        </w:rPr>
        <w:t>Rh(</w:t>
      </w:r>
      <w:proofErr w:type="gramEnd"/>
      <w:r w:rsidRPr="003765D3">
        <w:rPr>
          <w:rFonts w:ascii="Arial" w:eastAsia="Times New Roman" w:hAnsi="Arial" w:cs="Arial"/>
        </w:rPr>
        <w:t xml:space="preserve">D) (anti-D, </w:t>
      </w:r>
      <w:proofErr w:type="spellStart"/>
      <w:r w:rsidRPr="003765D3">
        <w:rPr>
          <w:rFonts w:ascii="Arial" w:eastAsia="Times New Roman" w:hAnsi="Arial" w:cs="Arial"/>
        </w:rPr>
        <w:t>WinRho</w:t>
      </w:r>
      <w:proofErr w:type="spellEnd"/>
      <w:r w:rsidRPr="003765D3">
        <w:rPr>
          <w:rFonts w:ascii="Arial" w:eastAsia="Times New Roman" w:hAnsi="Arial" w:cs="Arial"/>
        </w:rPr>
        <w:t xml:space="preserve">, </w:t>
      </w:r>
      <w:proofErr w:type="spellStart"/>
      <w:r w:rsidRPr="003765D3">
        <w:rPr>
          <w:rFonts w:ascii="Arial" w:eastAsia="Times New Roman" w:hAnsi="Arial" w:cs="Arial"/>
        </w:rPr>
        <w:t>RhoGAM</w:t>
      </w:r>
      <w:proofErr w:type="spellEnd"/>
      <w:r w:rsidRPr="003765D3">
        <w:rPr>
          <w:rFonts w:ascii="Arial" w:eastAsia="Times New Roman" w:hAnsi="Arial" w:cs="Arial"/>
        </w:rPr>
        <w:t>, </w:t>
      </w:r>
      <w:hyperlink r:id="rId114" w:history="1">
        <w:r w:rsidRPr="003765D3">
          <w:rPr>
            <w:rFonts w:ascii="Arial" w:eastAsia="Times New Roman" w:hAnsi="Arial" w:cs="Arial"/>
            <w:color w:val="00905A"/>
            <w:u w:val="single"/>
          </w:rPr>
          <w:t>Rho(D) immune globulin</w:t>
        </w:r>
      </w:hyperlink>
      <w:r w:rsidRPr="003765D3">
        <w:rPr>
          <w:rFonts w:ascii="Arial" w:eastAsia="Times New Roman" w:hAnsi="Arial" w:cs="Arial"/>
        </w:rPr>
        <w:t>) is an alternative to conventional IVIG for patients whose red blood cells (RBCs) are Rh(D) positive (</w:t>
      </w:r>
      <w:proofErr w:type="spellStart"/>
      <w:r w:rsidRPr="003765D3">
        <w:rPr>
          <w:rFonts w:ascii="Arial" w:eastAsia="Times New Roman" w:hAnsi="Arial" w:cs="Arial"/>
        </w:rPr>
        <w:t>ie</w:t>
      </w:r>
      <w:proofErr w:type="spellEnd"/>
      <w:r w:rsidRPr="003765D3">
        <w:rPr>
          <w:rFonts w:ascii="Arial" w:eastAsia="Times New Roman" w:hAnsi="Arial" w:cs="Arial"/>
        </w:rPr>
        <w:t xml:space="preserve">, who have an </w:t>
      </w:r>
      <w:r w:rsidRPr="003765D3">
        <w:rPr>
          <w:rFonts w:ascii="Arial" w:eastAsia="Times New Roman" w:hAnsi="Arial" w:cs="Arial"/>
        </w:rPr>
        <w:lastRenderedPageBreak/>
        <w:t>Rh</w:t>
      </w:r>
      <w:r w:rsidRPr="003765D3">
        <w:rPr>
          <w:rFonts w:ascii="Arial" w:eastAsia="Times New Roman" w:hAnsi="Arial" w:cs="Arial"/>
          <w:sz w:val="16"/>
          <w:szCs w:val="16"/>
          <w:vertAlign w:val="superscript"/>
        </w:rPr>
        <w:t>+</w:t>
      </w:r>
      <w:r w:rsidRPr="003765D3">
        <w:rPr>
          <w:rFonts w:ascii="Arial" w:eastAsia="Times New Roman" w:hAnsi="Arial" w:cs="Arial"/>
        </w:rPr>
        <w:t> blood type). Anti-D is an </w:t>
      </w:r>
      <w:hyperlink r:id="rId115" w:history="1">
        <w:r w:rsidRPr="003765D3">
          <w:rPr>
            <w:rFonts w:ascii="Arial" w:eastAsia="Times New Roman" w:hAnsi="Arial" w:cs="Arial"/>
            <w:color w:val="00905A"/>
            <w:u w:val="single"/>
          </w:rPr>
          <w:t>immune globulin</w:t>
        </w:r>
      </w:hyperlink>
      <w:r w:rsidRPr="003765D3">
        <w:rPr>
          <w:rFonts w:ascii="Arial" w:eastAsia="Times New Roman" w:hAnsi="Arial" w:cs="Arial"/>
        </w:rPr>
        <w:t> directed against the D antigen of the Rh blood group system; it is thought to raise the platelet count by saturating macrophage Fc receptors with anti-D-coated RBCs. Some hemolysis is expected, but efficacy does not correlate with the degree of hemolysis [</w:t>
      </w:r>
      <w:hyperlink r:id="rId116" w:history="1">
        <w:r w:rsidRPr="003765D3">
          <w:rPr>
            <w:rFonts w:ascii="Arial" w:eastAsia="Times New Roman" w:hAnsi="Arial" w:cs="Arial"/>
            <w:color w:val="00905A"/>
            <w:u w:val="single"/>
          </w:rPr>
          <w:t>35</w:t>
        </w:r>
        <w:proofErr w:type="gramStart"/>
        <w:r w:rsidRPr="003765D3">
          <w:rPr>
            <w:rFonts w:ascii="Arial" w:eastAsia="Times New Roman" w:hAnsi="Arial" w:cs="Arial"/>
            <w:color w:val="00905A"/>
            <w:u w:val="single"/>
          </w:rPr>
          <w:t>,36</w:t>
        </w:r>
        <w:proofErr w:type="gramEnd"/>
      </w:hyperlink>
      <w:r w:rsidRPr="003765D3">
        <w:rPr>
          <w:rFonts w:ascii="Arial" w:eastAsia="Times New Roman" w:hAnsi="Arial" w:cs="Arial"/>
        </w:rPr>
        <w:t>]. Anti-D may be ineffective in patients who have had a splenectomy.</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The usual dose of anti-D is 50 to 75 mcg/kg intravenously; this can be repeated when the platelet count declines. In a trial that randomized 27 adults to one of two doses (50 versus 75 mcg/kg), the 75 mcg dose resulted in a higher platelet count increment (median increment 43,000 versus 8000/</w:t>
      </w:r>
      <w:proofErr w:type="spellStart"/>
      <w:r w:rsidRPr="003765D3">
        <w:rPr>
          <w:rFonts w:ascii="Arial" w:eastAsia="Times New Roman" w:hAnsi="Arial" w:cs="Arial"/>
        </w:rPr>
        <w:t>microL</w:t>
      </w:r>
      <w:proofErr w:type="spellEnd"/>
      <w:r w:rsidRPr="003765D3">
        <w:rPr>
          <w:rFonts w:ascii="Arial" w:eastAsia="Times New Roman" w:hAnsi="Arial" w:cs="Arial"/>
        </w:rPr>
        <w:t>) and a greater duration of effect (46 versus 21 days) [</w:t>
      </w:r>
      <w:hyperlink r:id="rId117" w:history="1">
        <w:r w:rsidRPr="003765D3">
          <w:rPr>
            <w:rFonts w:ascii="Arial" w:eastAsia="Times New Roman" w:hAnsi="Arial" w:cs="Arial"/>
            <w:color w:val="00905A"/>
            <w:u w:val="single"/>
          </w:rPr>
          <w:t>37</w:t>
        </w:r>
      </w:hyperlink>
      <w:r w:rsidRPr="003765D3">
        <w:rPr>
          <w:rFonts w:ascii="Arial" w:eastAsia="Times New Roman" w:hAnsi="Arial" w:cs="Arial"/>
        </w:rPr>
        <w:t>]. Anti-D showed similar efficacy as glucocorticoids in a randomized trial in 70 adults, with platelet count normalization in 49 and 46 percent, respectively [</w:t>
      </w:r>
      <w:hyperlink r:id="rId118" w:history="1">
        <w:r w:rsidRPr="003765D3">
          <w:rPr>
            <w:rFonts w:ascii="Arial" w:eastAsia="Times New Roman" w:hAnsi="Arial" w:cs="Arial"/>
            <w:color w:val="00905A"/>
            <w:u w:val="single"/>
          </w:rPr>
          <w:t>38</w:t>
        </w:r>
      </w:hyperlink>
      <w:r w:rsidRPr="003765D3">
        <w:rPr>
          <w:rFonts w:ascii="Arial" w:eastAsia="Times New Roman" w:hAnsi="Arial" w:cs="Arial"/>
        </w:rPr>
        <w:t>]. Both treatments allowed over half of the patients to avoid splenectomy (58 and 62 percent); anti-D allowed patients to postpone splenectomy for a longer interval (approximately 21 versus 10 weeks).</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Common adverse effects of anti-D include infusion reactions similar to IVIG, along with predictable mild to moderate hemolytic anemia from extravascular hemolysis of anti-D-coated RBCs [</w:t>
      </w:r>
      <w:hyperlink r:id="rId119" w:history="1">
        <w:r w:rsidRPr="003765D3">
          <w:rPr>
            <w:rFonts w:ascii="Arial" w:eastAsia="Times New Roman" w:hAnsi="Arial" w:cs="Arial"/>
            <w:color w:val="00905A"/>
            <w:u w:val="single"/>
          </w:rPr>
          <w:t>39</w:t>
        </w:r>
        <w:proofErr w:type="gramStart"/>
        <w:r w:rsidRPr="003765D3">
          <w:rPr>
            <w:rFonts w:ascii="Arial" w:eastAsia="Times New Roman" w:hAnsi="Arial" w:cs="Arial"/>
            <w:color w:val="00905A"/>
            <w:u w:val="single"/>
          </w:rPr>
          <w:t>,40</w:t>
        </w:r>
        <w:proofErr w:type="gramEnd"/>
      </w:hyperlink>
      <w:r w:rsidRPr="003765D3">
        <w:rPr>
          <w:rFonts w:ascii="Arial" w:eastAsia="Times New Roman" w:hAnsi="Arial" w:cs="Arial"/>
        </w:rPr>
        <w:t>]. Acute hemolytic transfusion reactions (ATRs) are rare (</w:t>
      </w:r>
      <w:proofErr w:type="spellStart"/>
      <w:r w:rsidRPr="003765D3">
        <w:rPr>
          <w:rFonts w:ascii="Arial" w:eastAsia="Times New Roman" w:hAnsi="Arial" w:cs="Arial"/>
        </w:rPr>
        <w:t>eg</w:t>
      </w:r>
      <w:proofErr w:type="spellEnd"/>
      <w:r w:rsidRPr="003765D3">
        <w:rPr>
          <w:rFonts w:ascii="Arial" w:eastAsia="Times New Roman" w:hAnsi="Arial" w:cs="Arial"/>
        </w:rPr>
        <w:t>, &lt;1 percent), but life-threatening intravascular hemolysis with disseminated intravascular coagulation and acute renal failure has been reported [</w:t>
      </w:r>
      <w:hyperlink r:id="rId120" w:history="1">
        <w:r w:rsidRPr="003765D3">
          <w:rPr>
            <w:rFonts w:ascii="Arial" w:eastAsia="Times New Roman" w:hAnsi="Arial" w:cs="Arial"/>
            <w:color w:val="00905A"/>
            <w:u w:val="single"/>
          </w:rPr>
          <w:t>41</w:t>
        </w:r>
        <w:proofErr w:type="gramStart"/>
        <w:r w:rsidRPr="003765D3">
          <w:rPr>
            <w:rFonts w:ascii="Arial" w:eastAsia="Times New Roman" w:hAnsi="Arial" w:cs="Arial"/>
            <w:color w:val="00905A"/>
            <w:u w:val="single"/>
          </w:rPr>
          <w:t>,42</w:t>
        </w:r>
        <w:proofErr w:type="gramEnd"/>
      </w:hyperlink>
      <w:r w:rsidRPr="003765D3">
        <w:rPr>
          <w:rFonts w:ascii="Arial" w:eastAsia="Times New Roman" w:hAnsi="Arial" w:cs="Arial"/>
        </w:rPr>
        <w:t>]. A boxed warning indicates this risk, and patients receiving anti-D should be monitored for signs of an ATR (</w:t>
      </w:r>
      <w:proofErr w:type="spellStart"/>
      <w:r w:rsidRPr="003765D3">
        <w:rPr>
          <w:rFonts w:ascii="Arial" w:eastAsia="Times New Roman" w:hAnsi="Arial" w:cs="Arial"/>
        </w:rPr>
        <w:t>eg</w:t>
      </w:r>
      <w:proofErr w:type="spellEnd"/>
      <w:r w:rsidRPr="003765D3">
        <w:rPr>
          <w:rFonts w:ascii="Arial" w:eastAsia="Times New Roman" w:hAnsi="Arial" w:cs="Arial"/>
        </w:rPr>
        <w:t>, fever, chills, flank pain, hemoglobinuria) for four hours following administration [</w:t>
      </w:r>
      <w:hyperlink r:id="rId121" w:history="1">
        <w:r w:rsidRPr="003765D3">
          <w:rPr>
            <w:rFonts w:ascii="Arial" w:eastAsia="Times New Roman" w:hAnsi="Arial" w:cs="Arial"/>
            <w:color w:val="00905A"/>
            <w:u w:val="single"/>
          </w:rPr>
          <w:t>43</w:t>
        </w:r>
        <w:proofErr w:type="gramStart"/>
        <w:r w:rsidRPr="003765D3">
          <w:rPr>
            <w:rFonts w:ascii="Arial" w:eastAsia="Times New Roman" w:hAnsi="Arial" w:cs="Arial"/>
            <w:color w:val="00905A"/>
            <w:u w:val="single"/>
          </w:rPr>
          <w:t>,44</w:t>
        </w:r>
        <w:proofErr w:type="gramEnd"/>
      </w:hyperlink>
      <w:r w:rsidRPr="003765D3">
        <w:rPr>
          <w:rFonts w:ascii="Arial" w:eastAsia="Times New Roman" w:hAnsi="Arial" w:cs="Arial"/>
        </w:rPr>
        <w:t>]. Case reports of severe ATRs and the need to monitor for this complication have led most clinicians to use IVIG rather than anti-D; anti-D is unavailable in some European markets. (See </w:t>
      </w:r>
      <w:hyperlink r:id="rId122" w:anchor="H354742" w:history="1">
        <w:r w:rsidRPr="003765D3">
          <w:rPr>
            <w:rFonts w:ascii="Arial" w:eastAsia="Times New Roman" w:hAnsi="Arial" w:cs="Arial"/>
            <w:color w:val="00905A"/>
            <w:u w:val="single"/>
          </w:rPr>
          <w:t>"Hemolytic transfusion reactions", section on 'Acute hemolytic reactions'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Anti-D should be avoided in patients with preexisting hemolysis or a high risk of hemolysis (</w:t>
      </w:r>
      <w:proofErr w:type="spellStart"/>
      <w:r w:rsidRPr="003765D3">
        <w:rPr>
          <w:rFonts w:ascii="Arial" w:eastAsia="Times New Roman" w:hAnsi="Arial" w:cs="Arial"/>
        </w:rPr>
        <w:t>eg</w:t>
      </w:r>
      <w:proofErr w:type="spellEnd"/>
      <w:r w:rsidRPr="003765D3">
        <w:rPr>
          <w:rFonts w:ascii="Arial" w:eastAsia="Times New Roman" w:hAnsi="Arial" w:cs="Arial"/>
        </w:rPr>
        <w:t xml:space="preserve">, positive direct </w:t>
      </w:r>
      <w:proofErr w:type="spellStart"/>
      <w:r w:rsidRPr="003765D3">
        <w:rPr>
          <w:rFonts w:ascii="Arial" w:eastAsia="Times New Roman" w:hAnsi="Arial" w:cs="Arial"/>
        </w:rPr>
        <w:t>antiglobulin</w:t>
      </w:r>
      <w:proofErr w:type="spellEnd"/>
      <w:r w:rsidRPr="003765D3">
        <w:rPr>
          <w:rFonts w:ascii="Arial" w:eastAsia="Times New Roman" w:hAnsi="Arial" w:cs="Arial"/>
        </w:rPr>
        <w:t xml:space="preserve"> test, elevated reticulocyte count) [</w:t>
      </w:r>
      <w:hyperlink r:id="rId123" w:history="1">
        <w:r w:rsidRPr="003765D3">
          <w:rPr>
            <w:rFonts w:ascii="Arial" w:eastAsia="Times New Roman" w:hAnsi="Arial" w:cs="Arial"/>
            <w:color w:val="00905A"/>
            <w:u w:val="single"/>
          </w:rPr>
          <w:t>45</w:t>
        </w:r>
      </w:hyperlink>
      <w:r w:rsidRPr="003765D3">
        <w:rPr>
          <w:rFonts w:ascii="Arial" w:eastAsia="Times New Roman" w:hAnsi="Arial" w:cs="Arial"/>
        </w:rPr>
        <w:t>]. If an Rh</w:t>
      </w:r>
      <w:r w:rsidRPr="003765D3">
        <w:rPr>
          <w:rFonts w:ascii="Arial" w:eastAsia="Times New Roman" w:hAnsi="Arial" w:cs="Arial"/>
          <w:sz w:val="16"/>
          <w:szCs w:val="16"/>
          <w:vertAlign w:val="superscript"/>
        </w:rPr>
        <w:t>+</w:t>
      </w:r>
      <w:r w:rsidRPr="003765D3">
        <w:rPr>
          <w:rFonts w:ascii="Arial" w:eastAsia="Times New Roman" w:hAnsi="Arial" w:cs="Arial"/>
        </w:rPr>
        <w:t> patient who received anti-D requires a RBC or platelet transfusion, Rh-negative products should be used to avoid worsening of hemolysis [</w:t>
      </w:r>
      <w:hyperlink r:id="rId124" w:history="1">
        <w:r w:rsidRPr="003765D3">
          <w:rPr>
            <w:rFonts w:ascii="Arial" w:eastAsia="Times New Roman" w:hAnsi="Arial" w:cs="Arial"/>
            <w:color w:val="00905A"/>
            <w:u w:val="single"/>
          </w:rPr>
          <w:t>46</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A recombinant anti-D product has been produced that consists of 25 genetically distinct human monoclonal antibodies against the D antigen; it remains to be seen how this product compares with plasma-derived anti-D or IVIG [</w:t>
      </w:r>
      <w:hyperlink r:id="rId125" w:history="1">
        <w:r w:rsidRPr="003765D3">
          <w:rPr>
            <w:rFonts w:ascii="Arial" w:eastAsia="Times New Roman" w:hAnsi="Arial" w:cs="Arial"/>
            <w:color w:val="00905A"/>
            <w:u w:val="single"/>
          </w:rPr>
          <w:t>47</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SECOND-LINE THERAPIES</w:t>
      </w:r>
      <w:r w:rsidRPr="003765D3">
        <w:rPr>
          <w:rFonts w:ascii="Arial" w:eastAsia="Times New Roman" w:hAnsi="Arial" w:cs="Arial"/>
        </w:rPr>
        <w:t> — </w:t>
      </w:r>
      <w:proofErr w:type="gramStart"/>
      <w:r w:rsidRPr="003765D3">
        <w:rPr>
          <w:rFonts w:ascii="Arial" w:eastAsia="Times New Roman" w:hAnsi="Arial" w:cs="Arial"/>
        </w:rPr>
        <w:t>Some</w:t>
      </w:r>
      <w:proofErr w:type="gramEnd"/>
      <w:r w:rsidRPr="003765D3">
        <w:rPr>
          <w:rFonts w:ascii="Arial" w:eastAsia="Times New Roman" w:hAnsi="Arial" w:cs="Arial"/>
        </w:rPr>
        <w:t xml:space="preserve"> patents may not have a stable, safe platelet count following therapy with glucocorticoids or intravenous </w:t>
      </w:r>
      <w:hyperlink r:id="rId126" w:history="1">
        <w:r w:rsidRPr="003765D3">
          <w:rPr>
            <w:rFonts w:ascii="Arial" w:eastAsia="Times New Roman" w:hAnsi="Arial" w:cs="Arial"/>
            <w:color w:val="00905A"/>
            <w:u w:val="single"/>
          </w:rPr>
          <w:t>immune globulin</w:t>
        </w:r>
      </w:hyperlink>
      <w:r w:rsidRPr="003765D3">
        <w:rPr>
          <w:rFonts w:ascii="Arial" w:eastAsia="Times New Roman" w:hAnsi="Arial" w:cs="Arial"/>
        </w:rPr>
        <w:t> (IVIG). Therapy with splenectomy, </w:t>
      </w:r>
      <w:hyperlink r:id="rId127" w:history="1">
        <w:r w:rsidRPr="003765D3">
          <w:rPr>
            <w:rFonts w:ascii="Arial" w:eastAsia="Times New Roman" w:hAnsi="Arial" w:cs="Arial"/>
            <w:color w:val="00905A"/>
            <w:u w:val="single"/>
          </w:rPr>
          <w:t>rituximab</w:t>
        </w:r>
      </w:hyperlink>
      <w:r w:rsidRPr="003765D3">
        <w:rPr>
          <w:rFonts w:ascii="Arial" w:eastAsia="Times New Roman" w:hAnsi="Arial" w:cs="Arial"/>
        </w:rPr>
        <w:t xml:space="preserve">, </w:t>
      </w:r>
      <w:proofErr w:type="spellStart"/>
      <w:r w:rsidRPr="003765D3">
        <w:rPr>
          <w:rFonts w:ascii="Arial" w:eastAsia="Times New Roman" w:hAnsi="Arial" w:cs="Arial"/>
        </w:rPr>
        <w:t>thrombopoietin</w:t>
      </w:r>
      <w:proofErr w:type="spellEnd"/>
      <w:r w:rsidRPr="003765D3">
        <w:rPr>
          <w:rFonts w:ascii="Arial" w:eastAsia="Times New Roman" w:hAnsi="Arial" w:cs="Arial"/>
        </w:rPr>
        <w:t xml:space="preserve"> receptor agonists or immunosuppressive therapy is appropriate for patients who continue to have clinically significant bleeding, patients with platelet counts &lt;10,000 to 20,000/</w:t>
      </w:r>
      <w:proofErr w:type="spellStart"/>
      <w:r w:rsidRPr="003765D3">
        <w:rPr>
          <w:rFonts w:ascii="Arial" w:eastAsia="Times New Roman" w:hAnsi="Arial" w:cs="Arial"/>
        </w:rPr>
        <w:t>microL</w:t>
      </w:r>
      <w:proofErr w:type="spellEnd"/>
      <w:r w:rsidRPr="003765D3">
        <w:rPr>
          <w:rFonts w:ascii="Arial" w:eastAsia="Times New Roman" w:hAnsi="Arial" w:cs="Arial"/>
        </w:rPr>
        <w:t>, and some patients who have a platelet count in the range of 20,000 to 30,000/</w:t>
      </w:r>
      <w:proofErr w:type="spellStart"/>
      <w:r w:rsidRPr="003765D3">
        <w:rPr>
          <w:rFonts w:ascii="Arial" w:eastAsia="Times New Roman" w:hAnsi="Arial" w:cs="Arial"/>
        </w:rPr>
        <w:t>microL</w:t>
      </w:r>
      <w:proofErr w:type="spellEnd"/>
      <w:r w:rsidRPr="003765D3">
        <w:rPr>
          <w:rFonts w:ascii="Arial" w:eastAsia="Times New Roman" w:hAnsi="Arial" w:cs="Arial"/>
        </w:rPr>
        <w:t> after first-line therapy. Options for second-line therapies and additional approaches beyond second-line therapies are discussed in detail separately. (See </w:t>
      </w:r>
      <w:hyperlink r:id="rId128" w:history="1">
        <w:r w:rsidRPr="003765D3">
          <w:rPr>
            <w:rFonts w:ascii="Arial" w:eastAsia="Times New Roman" w:hAnsi="Arial" w:cs="Arial"/>
            <w:color w:val="00905A"/>
            <w:u w:val="single"/>
          </w:rPr>
          <w:t>"Immune thrombocytopenia (ITP) in adults: Second-line and subsequent therapies"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SPECIAL SCENARIOS</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lastRenderedPageBreak/>
        <w:t>Surgery/invasive procedures</w:t>
      </w:r>
      <w:r w:rsidRPr="003765D3">
        <w:rPr>
          <w:rFonts w:ascii="Arial" w:eastAsia="Times New Roman" w:hAnsi="Arial" w:cs="Arial"/>
        </w:rPr>
        <w:t> — Platelet count thresholds for surgery or invasive procedures are higher than thresholds to prevent spontaneous bleeding. Typical thresholds are presented separately. (See </w:t>
      </w:r>
      <w:hyperlink r:id="rId129" w:anchor="H558384448" w:history="1">
        <w:r w:rsidRPr="003765D3">
          <w:rPr>
            <w:rFonts w:ascii="Arial" w:eastAsia="Times New Roman" w:hAnsi="Arial" w:cs="Arial"/>
            <w:color w:val="00905A"/>
            <w:u w:val="single"/>
          </w:rPr>
          <w:t>"Clinical and laboratory aspects of platelet transfusion therapy", section on 'Preparation for an invasive procedure'</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In many cases, properly-timed glucocorticoids or intravenous </w:t>
      </w:r>
      <w:hyperlink r:id="rId130" w:history="1">
        <w:r w:rsidRPr="003765D3">
          <w:rPr>
            <w:rFonts w:ascii="Arial" w:eastAsia="Times New Roman" w:hAnsi="Arial" w:cs="Arial"/>
            <w:color w:val="00905A"/>
            <w:u w:val="single"/>
          </w:rPr>
          <w:t>immune globulin</w:t>
        </w:r>
      </w:hyperlink>
      <w:r w:rsidRPr="003765D3">
        <w:rPr>
          <w:rFonts w:ascii="Arial" w:eastAsia="Times New Roman" w:hAnsi="Arial" w:cs="Arial"/>
        </w:rPr>
        <w:t> (IVIG) can be used to raise the platelet count in preparation for elective surgery. The table shows the expected time to first response for various ITP treatments (</w:t>
      </w:r>
      <w:hyperlink r:id="rId131" w:history="1">
        <w:r w:rsidRPr="003765D3">
          <w:rPr>
            <w:rFonts w:ascii="Arial" w:eastAsia="Times New Roman" w:hAnsi="Arial" w:cs="Arial"/>
            <w:color w:val="00905A"/>
            <w:u w:val="single"/>
          </w:rPr>
          <w:t>table 2</w:t>
        </w:r>
      </w:hyperlink>
      <w:r w:rsidRPr="003765D3">
        <w:rPr>
          <w:rFonts w:ascii="Arial" w:eastAsia="Times New Roman" w:hAnsi="Arial" w:cs="Arial"/>
        </w:rPr>
        <w:t xml:space="preserve">). For elective procedures, we generally use the agent that has been effective for the patient previously. </w:t>
      </w:r>
      <w:proofErr w:type="spellStart"/>
      <w:r w:rsidRPr="003765D3">
        <w:rPr>
          <w:rFonts w:ascii="Arial" w:eastAsia="Times New Roman" w:hAnsi="Arial" w:cs="Arial"/>
        </w:rPr>
        <w:t>Thrombopoietin</w:t>
      </w:r>
      <w:proofErr w:type="spellEnd"/>
      <w:r w:rsidRPr="003765D3">
        <w:rPr>
          <w:rFonts w:ascii="Arial" w:eastAsia="Times New Roman" w:hAnsi="Arial" w:cs="Arial"/>
        </w:rPr>
        <w:t xml:space="preserve"> receptor agonists may be useful in this setting, but data are lacking to support this practice; studies are underway [</w:t>
      </w:r>
      <w:hyperlink r:id="rId132" w:history="1">
        <w:r w:rsidRPr="003765D3">
          <w:rPr>
            <w:rFonts w:ascii="Arial" w:eastAsia="Times New Roman" w:hAnsi="Arial" w:cs="Arial"/>
            <w:color w:val="00905A"/>
            <w:u w:val="single"/>
          </w:rPr>
          <w:t>48</w:t>
        </w:r>
        <w:proofErr w:type="gramStart"/>
        <w:r w:rsidRPr="003765D3">
          <w:rPr>
            <w:rFonts w:ascii="Arial" w:eastAsia="Times New Roman" w:hAnsi="Arial" w:cs="Arial"/>
            <w:color w:val="00905A"/>
            <w:u w:val="single"/>
          </w:rPr>
          <w:t>,49</w:t>
        </w:r>
        <w:proofErr w:type="gramEnd"/>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For more urgent or emergent procedures, we use IVIG; platelet transfusions may also be required depending on the degree of urgency.</w:t>
      </w:r>
    </w:p>
    <w:p w:rsidR="003765D3" w:rsidRPr="003765D3" w:rsidRDefault="003765D3" w:rsidP="003765D3">
      <w:pPr>
        <w:spacing w:before="216" w:after="216" w:line="302" w:lineRule="atLeast"/>
        <w:rPr>
          <w:rFonts w:ascii="Arial" w:eastAsia="Times New Roman" w:hAnsi="Arial" w:cs="Arial"/>
        </w:rPr>
      </w:pPr>
      <w:proofErr w:type="spellStart"/>
      <w:r w:rsidRPr="003765D3">
        <w:rPr>
          <w:rFonts w:ascii="Arial" w:eastAsia="Times New Roman" w:hAnsi="Arial" w:cs="Arial"/>
          <w:b/>
          <w:bCs/>
        </w:rPr>
        <w:t>Myelosuppressive</w:t>
      </w:r>
      <w:proofErr w:type="spellEnd"/>
      <w:r w:rsidRPr="003765D3">
        <w:rPr>
          <w:rFonts w:ascii="Arial" w:eastAsia="Times New Roman" w:hAnsi="Arial" w:cs="Arial"/>
          <w:b/>
          <w:bCs/>
        </w:rPr>
        <w:t xml:space="preserve"> chemotherapy</w:t>
      </w:r>
      <w:r w:rsidRPr="003765D3">
        <w:rPr>
          <w:rFonts w:ascii="Arial" w:eastAsia="Times New Roman" w:hAnsi="Arial" w:cs="Arial"/>
        </w:rPr>
        <w:t xml:space="preserve"> — ITP is not a contraindication to the use of </w:t>
      </w:r>
      <w:proofErr w:type="spellStart"/>
      <w:r w:rsidRPr="003765D3">
        <w:rPr>
          <w:rFonts w:ascii="Arial" w:eastAsia="Times New Roman" w:hAnsi="Arial" w:cs="Arial"/>
        </w:rPr>
        <w:t>myelosuppressive</w:t>
      </w:r>
      <w:proofErr w:type="spellEnd"/>
      <w:r w:rsidRPr="003765D3">
        <w:rPr>
          <w:rFonts w:ascii="Arial" w:eastAsia="Times New Roman" w:hAnsi="Arial" w:cs="Arial"/>
        </w:rPr>
        <w:t xml:space="preserve"> chemotherapy, and thrombocytopenia from ITP should not be a barrier to chemotherapy administration in patients for whom it is appropriate. Options for management of the thrombocytopenia depend on the platelet count level, expected degree and duration of myelosuppression, and patient's bone marrow function and morphology. Short-term use of a </w:t>
      </w:r>
      <w:proofErr w:type="spellStart"/>
      <w:r w:rsidRPr="003765D3">
        <w:rPr>
          <w:rFonts w:ascii="Arial" w:eastAsia="Times New Roman" w:hAnsi="Arial" w:cs="Arial"/>
        </w:rPr>
        <w:t>thrombopoietin</w:t>
      </w:r>
      <w:proofErr w:type="spellEnd"/>
      <w:r w:rsidRPr="003765D3">
        <w:rPr>
          <w:rFonts w:ascii="Arial" w:eastAsia="Times New Roman" w:hAnsi="Arial" w:cs="Arial"/>
        </w:rPr>
        <w:t xml:space="preserve"> (TPO) receptor agonist to maintain the platelet count may also be considered, if it would allow administration of live-saving or curative chemotherapy [</w:t>
      </w:r>
      <w:hyperlink r:id="rId133" w:history="1">
        <w:r w:rsidRPr="003765D3">
          <w:rPr>
            <w:rFonts w:ascii="Arial" w:eastAsia="Times New Roman" w:hAnsi="Arial" w:cs="Arial"/>
            <w:color w:val="00905A"/>
            <w:u w:val="single"/>
          </w:rPr>
          <w:t>50</w:t>
        </w:r>
      </w:hyperlink>
      <w:r w:rsidRPr="003765D3">
        <w:rPr>
          <w:rFonts w:ascii="Arial" w:eastAsia="Times New Roman" w:hAnsi="Arial" w:cs="Arial"/>
        </w:rPr>
        <w:t>]. (See </w:t>
      </w:r>
      <w:hyperlink r:id="rId134" w:anchor="H5" w:history="1">
        <w:r w:rsidRPr="003765D3">
          <w:rPr>
            <w:rFonts w:ascii="Arial" w:eastAsia="Times New Roman" w:hAnsi="Arial" w:cs="Arial"/>
            <w:color w:val="00905A"/>
            <w:u w:val="single"/>
          </w:rPr>
          <w:t>"Immune thrombocytopenia (ITP) in adults: Second-line and subsequent therapies", section on '</w:t>
        </w:r>
        <w:proofErr w:type="spellStart"/>
        <w:r w:rsidRPr="003765D3">
          <w:rPr>
            <w:rFonts w:ascii="Arial" w:eastAsia="Times New Roman" w:hAnsi="Arial" w:cs="Arial"/>
            <w:color w:val="00905A"/>
            <w:u w:val="single"/>
          </w:rPr>
          <w:t>Thrombopoietin</w:t>
        </w:r>
        <w:proofErr w:type="spellEnd"/>
        <w:r w:rsidRPr="003765D3">
          <w:rPr>
            <w:rFonts w:ascii="Arial" w:eastAsia="Times New Roman" w:hAnsi="Arial" w:cs="Arial"/>
            <w:color w:val="00905A"/>
            <w:u w:val="single"/>
          </w:rPr>
          <w:t xml:space="preserve"> receptor agonists'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ITP during pregnancy</w:t>
      </w:r>
      <w:r w:rsidRPr="003765D3">
        <w:rPr>
          <w:rFonts w:ascii="Arial" w:eastAsia="Times New Roman" w:hAnsi="Arial" w:cs="Arial"/>
        </w:rPr>
        <w:t> — ITP often presents during pregnancy because it is common in young women and more likely to be detected during pregnancy due to the use of routine complete blood counts (CBCs) to assess pregnant patients for anemia. ITP during pregnancy raises concerns for both the mother and the neonate, because anti-platelet antibodies can cross the placenta. Issues regarding ITP in pregnancy (</w:t>
      </w:r>
      <w:proofErr w:type="spellStart"/>
      <w:r w:rsidRPr="003765D3">
        <w:rPr>
          <w:rFonts w:ascii="Arial" w:eastAsia="Times New Roman" w:hAnsi="Arial" w:cs="Arial"/>
        </w:rPr>
        <w:t>eg</w:t>
      </w:r>
      <w:proofErr w:type="spellEnd"/>
      <w:r w:rsidRPr="003765D3">
        <w:rPr>
          <w:rFonts w:ascii="Arial" w:eastAsia="Times New Roman" w:hAnsi="Arial" w:cs="Arial"/>
        </w:rPr>
        <w:t xml:space="preserve">, indications for treatment, use of </w:t>
      </w:r>
      <w:proofErr w:type="spellStart"/>
      <w:r w:rsidRPr="003765D3">
        <w:rPr>
          <w:rFonts w:ascii="Arial" w:eastAsia="Times New Roman" w:hAnsi="Arial" w:cs="Arial"/>
        </w:rPr>
        <w:t>neuraxial</w:t>
      </w:r>
      <w:proofErr w:type="spellEnd"/>
      <w:r w:rsidRPr="003765D3">
        <w:rPr>
          <w:rFonts w:ascii="Arial" w:eastAsia="Times New Roman" w:hAnsi="Arial" w:cs="Arial"/>
        </w:rPr>
        <w:t xml:space="preserve"> anesthesia, management of the neonate) are discussed in detail separately. (See </w:t>
      </w:r>
      <w:hyperlink r:id="rId135" w:anchor="H3586240276" w:history="1">
        <w:r w:rsidRPr="003765D3">
          <w:rPr>
            <w:rFonts w:ascii="Arial" w:eastAsia="Times New Roman" w:hAnsi="Arial" w:cs="Arial"/>
            <w:color w:val="00905A"/>
            <w:u w:val="single"/>
          </w:rPr>
          <w:t>"Thrombocytopenia in pregnancy", section on 'ITP'</w:t>
        </w:r>
      </w:hyperlink>
      <w:r w:rsidRPr="003765D3">
        <w:rPr>
          <w:rFonts w:ascii="Arial" w:eastAsia="Times New Roman" w:hAnsi="Arial" w:cs="Arial"/>
        </w:rPr>
        <w:t> and </w:t>
      </w:r>
      <w:hyperlink r:id="rId136" w:history="1">
        <w:r w:rsidRPr="003765D3">
          <w:rPr>
            <w:rFonts w:ascii="Arial" w:eastAsia="Times New Roman" w:hAnsi="Arial" w:cs="Arial"/>
            <w:color w:val="00905A"/>
            <w:u w:val="single"/>
          </w:rPr>
          <w:t xml:space="preserve">"Adverse effects of </w:t>
        </w:r>
        <w:proofErr w:type="spellStart"/>
        <w:r w:rsidRPr="003765D3">
          <w:rPr>
            <w:rFonts w:ascii="Arial" w:eastAsia="Times New Roman" w:hAnsi="Arial" w:cs="Arial"/>
            <w:color w:val="00905A"/>
            <w:u w:val="single"/>
          </w:rPr>
          <w:t>neuraxial</w:t>
        </w:r>
        <w:proofErr w:type="spellEnd"/>
        <w:r w:rsidRPr="003765D3">
          <w:rPr>
            <w:rFonts w:ascii="Arial" w:eastAsia="Times New Roman" w:hAnsi="Arial" w:cs="Arial"/>
            <w:color w:val="00905A"/>
            <w:u w:val="single"/>
          </w:rPr>
          <w:t xml:space="preserve"> analgesia and anesthesia for obstetrics"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Secondary ITP</w:t>
      </w:r>
      <w:r w:rsidRPr="003765D3">
        <w:rPr>
          <w:rFonts w:ascii="Arial" w:eastAsia="Times New Roman" w:hAnsi="Arial" w:cs="Arial"/>
        </w:rPr>
        <w:t> — </w:t>
      </w:r>
      <w:proofErr w:type="gramStart"/>
      <w:r w:rsidRPr="003765D3">
        <w:rPr>
          <w:rFonts w:ascii="Arial" w:eastAsia="Times New Roman" w:hAnsi="Arial" w:cs="Arial"/>
        </w:rPr>
        <w:t>In</w:t>
      </w:r>
      <w:proofErr w:type="gramEnd"/>
      <w:r w:rsidRPr="003765D3">
        <w:rPr>
          <w:rFonts w:ascii="Arial" w:eastAsia="Times New Roman" w:hAnsi="Arial" w:cs="Arial"/>
        </w:rPr>
        <w:t xml:space="preserve"> many cases of secondary ITP, treatment of the underlying condition may improve the platelet count. However, if the thrombocytopenia is severe (</w:t>
      </w:r>
      <w:proofErr w:type="spellStart"/>
      <w:r w:rsidRPr="003765D3">
        <w:rPr>
          <w:rFonts w:ascii="Arial" w:eastAsia="Times New Roman" w:hAnsi="Arial" w:cs="Arial"/>
        </w:rPr>
        <w:t>ie</w:t>
      </w:r>
      <w:proofErr w:type="spellEnd"/>
      <w:r w:rsidRPr="003765D3">
        <w:rPr>
          <w:rFonts w:ascii="Arial" w:eastAsia="Times New Roman" w:hAnsi="Arial" w:cs="Arial"/>
        </w:rPr>
        <w:t>, platelet count &lt;50,000/</w:t>
      </w:r>
      <w:proofErr w:type="spellStart"/>
      <w:r w:rsidRPr="003765D3">
        <w:rPr>
          <w:rFonts w:ascii="Arial" w:eastAsia="Times New Roman" w:hAnsi="Arial" w:cs="Arial"/>
        </w:rPr>
        <w:t>microL</w:t>
      </w:r>
      <w:proofErr w:type="spellEnd"/>
      <w:r w:rsidRPr="003765D3">
        <w:rPr>
          <w:rFonts w:ascii="Arial" w:eastAsia="Times New Roman" w:hAnsi="Arial" w:cs="Arial"/>
        </w:rPr>
        <w:t>), it may be necessary to use ITP-specific therapies. Close consultation among clinicians should occur to ensure a coordinated plan. Therapy of associated conditions is discussed in separate topic reviews.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Secondary ITP (systemic lupus erythematosus-associated)</w:t>
      </w:r>
      <w:r w:rsidRPr="003765D3">
        <w:rPr>
          <w:rFonts w:ascii="Arial" w:eastAsia="Times New Roman" w:hAnsi="Arial" w:cs="Arial"/>
        </w:rPr>
        <w:t> – (See </w:t>
      </w:r>
      <w:hyperlink r:id="rId137" w:anchor="H18" w:history="1">
        <w:r w:rsidRPr="003765D3">
          <w:rPr>
            <w:rFonts w:ascii="Arial" w:eastAsia="Times New Roman" w:hAnsi="Arial" w:cs="Arial"/>
            <w:color w:val="00905A"/>
            <w:u w:val="single"/>
          </w:rPr>
          <w:t>"Hematologic manifestations of systemic lupus erythematosus", section on 'Thrombocytopenia'</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lastRenderedPageBreak/>
        <w:t>●</w:t>
      </w:r>
      <w:r w:rsidRPr="003765D3">
        <w:rPr>
          <w:rFonts w:ascii="Arial" w:eastAsia="Times New Roman" w:hAnsi="Arial" w:cs="Arial"/>
          <w:b/>
          <w:bCs/>
        </w:rPr>
        <w:t>Secondary ITP (hepatitis C virus-associated)</w:t>
      </w:r>
      <w:r w:rsidRPr="003765D3">
        <w:rPr>
          <w:rFonts w:ascii="Arial" w:eastAsia="Times New Roman" w:hAnsi="Arial" w:cs="Arial"/>
        </w:rPr>
        <w:t> – (See </w:t>
      </w:r>
      <w:hyperlink r:id="rId138" w:anchor="H11" w:history="1">
        <w:r w:rsidRPr="003765D3">
          <w:rPr>
            <w:rFonts w:ascii="Arial" w:eastAsia="Times New Roman" w:hAnsi="Arial" w:cs="Arial"/>
            <w:color w:val="00905A"/>
            <w:u w:val="single"/>
          </w:rPr>
          <w:t>"Extrahepatic manifestations of hepatitis C virus infection", section on 'Immune thrombocytopenia (ITP) and autoimmune hemolytic anemia'</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Secondary ITP (HIV-associated)</w:t>
      </w:r>
      <w:r w:rsidRPr="003765D3">
        <w:rPr>
          <w:rFonts w:ascii="Arial" w:eastAsia="Times New Roman" w:hAnsi="Arial" w:cs="Arial"/>
        </w:rPr>
        <w:t> – (See </w:t>
      </w:r>
      <w:hyperlink r:id="rId139" w:anchor="H7" w:history="1">
        <w:r w:rsidRPr="003765D3">
          <w:rPr>
            <w:rFonts w:ascii="Arial" w:eastAsia="Times New Roman" w:hAnsi="Arial" w:cs="Arial"/>
            <w:color w:val="00905A"/>
            <w:u w:val="single"/>
          </w:rPr>
          <w:t>"Hematologic manifestations of HIV infection: Thrombocytopenia and coagulation abnormalities", section on 'Treatment of HIV-associated thrombocytopenia'</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Secondary ITP (chronic lymphocytic leukemia-associated)</w:t>
      </w:r>
      <w:r w:rsidRPr="003765D3">
        <w:rPr>
          <w:rFonts w:ascii="Arial" w:eastAsia="Times New Roman" w:hAnsi="Arial" w:cs="Arial"/>
        </w:rPr>
        <w:t> – (See </w:t>
      </w:r>
      <w:hyperlink r:id="rId140" w:anchor="H20" w:history="1">
        <w:r w:rsidRPr="003765D3">
          <w:rPr>
            <w:rFonts w:ascii="Arial" w:eastAsia="Times New Roman" w:hAnsi="Arial" w:cs="Arial"/>
            <w:color w:val="00905A"/>
            <w:u w:val="single"/>
          </w:rPr>
          <w:t>"Overview of the complications of chronic lymphocytic leukemia", section on 'Thrombocytopenia'</w:t>
        </w:r>
      </w:hyperlink>
      <w:r w:rsidRPr="003765D3">
        <w:rPr>
          <w:rFonts w:ascii="Arial" w:eastAsia="Times New Roman" w:hAnsi="Arial" w:cs="Arial"/>
        </w:rPr>
        <w:t> and </w:t>
      </w:r>
      <w:hyperlink r:id="rId141" w:history="1">
        <w:r w:rsidRPr="003765D3">
          <w:rPr>
            <w:rFonts w:ascii="Arial" w:eastAsia="Times New Roman" w:hAnsi="Arial" w:cs="Arial"/>
            <w:color w:val="00905A"/>
            <w:u w:val="single"/>
          </w:rPr>
          <w:t>"Selection of initial therapy for symptomatic or advanced chronic lymphocytic leukemia"</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Helicobacter pylori infection</w:t>
      </w:r>
      <w:r w:rsidRPr="003765D3">
        <w:rPr>
          <w:rFonts w:ascii="Arial" w:eastAsia="Times New Roman" w:hAnsi="Arial" w:cs="Arial"/>
        </w:rPr>
        <w:t> — Observational studies have suggested that therapy for Helicobacter pylori infection may improve platelet counts in some individuals with ITP [</w:t>
      </w:r>
      <w:hyperlink r:id="rId142" w:history="1">
        <w:r w:rsidRPr="003765D3">
          <w:rPr>
            <w:rFonts w:ascii="Arial" w:eastAsia="Times New Roman" w:hAnsi="Arial" w:cs="Arial"/>
            <w:color w:val="00905A"/>
            <w:u w:val="single"/>
          </w:rPr>
          <w:t>51</w:t>
        </w:r>
      </w:hyperlink>
      <w:r w:rsidRPr="003765D3">
        <w:rPr>
          <w:rFonts w:ascii="Arial" w:eastAsia="Times New Roman" w:hAnsi="Arial" w:cs="Arial"/>
        </w:rPr>
        <w:t>]. However, platelet count increases in patients with platelet counts &lt;30,000/</w:t>
      </w:r>
      <w:proofErr w:type="spellStart"/>
      <w:r w:rsidRPr="003765D3">
        <w:rPr>
          <w:rFonts w:ascii="Arial" w:eastAsia="Times New Roman" w:hAnsi="Arial" w:cs="Arial"/>
        </w:rPr>
        <w:t>microL</w:t>
      </w:r>
      <w:proofErr w:type="spellEnd"/>
      <w:r w:rsidRPr="003765D3">
        <w:rPr>
          <w:rFonts w:ascii="Arial" w:eastAsia="Times New Roman" w:hAnsi="Arial" w:cs="Arial"/>
        </w:rPr>
        <w:t> are unlikely. Therefore, we do not rely on H. pylori testing and treatment as a primary means of improving platelet counts in patients who require therapy.</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We do not routinely screen for H. pylori in asymptomatic patients with platelet counts &gt;30,000/</w:t>
      </w:r>
      <w:proofErr w:type="spellStart"/>
      <w:r w:rsidRPr="003765D3">
        <w:rPr>
          <w:rFonts w:ascii="Arial" w:eastAsia="Times New Roman" w:hAnsi="Arial" w:cs="Arial"/>
        </w:rPr>
        <w:t>microL</w:t>
      </w:r>
      <w:proofErr w:type="spellEnd"/>
      <w:r w:rsidRPr="003765D3">
        <w:rPr>
          <w:rFonts w:ascii="Arial" w:eastAsia="Times New Roman" w:hAnsi="Arial" w:cs="Arial"/>
        </w:rPr>
        <w:t>, because these patients generally do not require therapy to raise their platelet count. (See </w:t>
      </w:r>
      <w:hyperlink r:id="rId143" w:anchor="H4" w:history="1">
        <w:r w:rsidRPr="003765D3">
          <w:rPr>
            <w:rFonts w:ascii="Arial" w:eastAsia="Times New Roman" w:hAnsi="Arial" w:cs="Arial"/>
            <w:color w:val="00905A"/>
            <w:u w:val="single"/>
          </w:rPr>
          <w:t>'Indications for treatment'</w:t>
        </w:r>
      </w:hyperlink>
      <w:r w:rsidRPr="003765D3">
        <w:rPr>
          <w:rFonts w:ascii="Arial" w:eastAsia="Times New Roman" w:hAnsi="Arial" w:cs="Arial"/>
        </w:rPr>
        <w:t> above.)</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We also do not perform H. pylori testing and treatment in patients who otherwise would require ITP treatment based on bleeding or a platelet count &lt;30,000/</w:t>
      </w:r>
      <w:proofErr w:type="spellStart"/>
      <w:r w:rsidRPr="003765D3">
        <w:rPr>
          <w:rFonts w:ascii="Arial" w:eastAsia="Times New Roman" w:hAnsi="Arial" w:cs="Arial"/>
        </w:rPr>
        <w:t>microL</w:t>
      </w:r>
      <w:proofErr w:type="spellEnd"/>
      <w:r w:rsidRPr="003765D3">
        <w:rPr>
          <w:rFonts w:ascii="Arial" w:eastAsia="Times New Roman" w:hAnsi="Arial" w:cs="Arial"/>
        </w:rPr>
        <w:t>, because we prefer to use therapies with better demonstrated efficacy in this population, which is at risk of severe bleeding. (See </w:t>
      </w:r>
      <w:hyperlink r:id="rId144" w:anchor="H88767833" w:history="1">
        <w:r w:rsidRPr="003765D3">
          <w:rPr>
            <w:rFonts w:ascii="Arial" w:eastAsia="Times New Roman" w:hAnsi="Arial" w:cs="Arial"/>
            <w:color w:val="00905A"/>
            <w:u w:val="single"/>
          </w:rPr>
          <w:t>'Choice of first-line therapy'</w:t>
        </w:r>
      </w:hyperlink>
      <w:r w:rsidRPr="003765D3">
        <w:rPr>
          <w:rFonts w:ascii="Arial" w:eastAsia="Times New Roman" w:hAnsi="Arial" w:cs="Arial"/>
        </w:rPr>
        <w:t> above.)</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Screening for H. pylori infection (using breath test or stool antigen) followed by H. pylori eradication therapy if testing is positive may be useful for patients with moderate to severe ITP who are from endemic geographical regions such as Japan and Italy.</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There is insufficient evidence to recommend universal screening for H. pylori and there is no role for the use of empiric H. pylori eradication therapy in H. pylori-negative patients or patients with unknown H. pylori status [</w:t>
      </w:r>
      <w:hyperlink r:id="rId145" w:history="1">
        <w:r w:rsidRPr="003765D3">
          <w:rPr>
            <w:rFonts w:ascii="Arial" w:eastAsia="Times New Roman" w:hAnsi="Arial" w:cs="Arial"/>
            <w:color w:val="00905A"/>
            <w:u w:val="single"/>
          </w:rPr>
          <w:t>52</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Some clinicians follow an approach of testing for H. pylori and treating if positive, based on the possibility that this therapy might be effective, and the low cost and toxicity profile of non-invasive testing and antibiotic therapy [</w:t>
      </w:r>
      <w:hyperlink r:id="rId146" w:history="1">
        <w:r w:rsidRPr="003765D3">
          <w:rPr>
            <w:rFonts w:ascii="Arial" w:eastAsia="Times New Roman" w:hAnsi="Arial" w:cs="Arial"/>
            <w:color w:val="00905A"/>
            <w:u w:val="single"/>
          </w:rPr>
          <w:t>51</w:t>
        </w:r>
      </w:hyperlink>
      <w:r w:rsidRPr="003765D3">
        <w:rPr>
          <w:rFonts w:ascii="Arial" w:eastAsia="Times New Roman" w:hAnsi="Arial" w:cs="Arial"/>
        </w:rPr>
        <w:t>]. This practice is supported by a prospective study in 129 patients with ITP from Iran who were tested for H. pylori infection and treated with two weeks of triple antibiotic therapy if testing was positive [</w:t>
      </w:r>
      <w:hyperlink r:id="rId147" w:history="1">
        <w:r w:rsidRPr="003765D3">
          <w:rPr>
            <w:rFonts w:ascii="Arial" w:eastAsia="Times New Roman" w:hAnsi="Arial" w:cs="Arial"/>
            <w:color w:val="00905A"/>
            <w:u w:val="single"/>
          </w:rPr>
          <w:t>53</w:t>
        </w:r>
      </w:hyperlink>
      <w:r w:rsidRPr="003765D3">
        <w:rPr>
          <w:rFonts w:ascii="Arial" w:eastAsia="Times New Roman" w:hAnsi="Arial" w:cs="Arial"/>
        </w:rPr>
        <w:t>]. Platelet counts &gt;100,000/</w:t>
      </w:r>
      <w:proofErr w:type="spellStart"/>
      <w:r w:rsidRPr="003765D3">
        <w:rPr>
          <w:rFonts w:ascii="Arial" w:eastAsia="Times New Roman" w:hAnsi="Arial" w:cs="Arial"/>
        </w:rPr>
        <w:t>microL</w:t>
      </w:r>
      <w:proofErr w:type="spellEnd"/>
      <w:r w:rsidRPr="003765D3">
        <w:rPr>
          <w:rFonts w:ascii="Arial" w:eastAsia="Times New Roman" w:hAnsi="Arial" w:cs="Arial"/>
        </w:rPr>
        <w:t> two years after treatment were seen in 30 of 62 patients successfully treated for H. pylori (48 percent), compared with no responses in the 58 H. pylori-negative patients or the nine patients in whom H. pylori eradication was unsuccessful. If an H. pylori test-and-treat strategy is pursued, we would use it in combination with more definitive therapy such as glucocorticoids.</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lastRenderedPageBreak/>
        <w:t>Further data regarding the efficacy of H. pylori eradication were evaluated in a systematic review that included 1555 patients in 24 studies, all but one of which were observational or retrospective case series [</w:t>
      </w:r>
      <w:hyperlink r:id="rId148" w:history="1">
        <w:r w:rsidRPr="003765D3">
          <w:rPr>
            <w:rFonts w:ascii="Arial" w:eastAsia="Times New Roman" w:hAnsi="Arial" w:cs="Arial"/>
            <w:color w:val="00905A"/>
            <w:u w:val="single"/>
          </w:rPr>
          <w:t>51</w:t>
        </w:r>
      </w:hyperlink>
      <w:r w:rsidRPr="003765D3">
        <w:rPr>
          <w:rFonts w:ascii="Arial" w:eastAsia="Times New Roman" w:hAnsi="Arial" w:cs="Arial"/>
        </w:rPr>
        <w:t>]. This review found greater responses in patients with milder degrees of thrombocytopenia in countries with a high background prevalence of H. pylori infection (</w:t>
      </w:r>
      <w:proofErr w:type="spellStart"/>
      <w:r w:rsidRPr="003765D3">
        <w:rPr>
          <w:rFonts w:ascii="Arial" w:eastAsia="Times New Roman" w:hAnsi="Arial" w:cs="Arial"/>
        </w:rPr>
        <w:t>eg</w:t>
      </w:r>
      <w:proofErr w:type="spellEnd"/>
      <w:r w:rsidRPr="003765D3">
        <w:rPr>
          <w:rFonts w:ascii="Arial" w:eastAsia="Times New Roman" w:hAnsi="Arial" w:cs="Arial"/>
        </w:rPr>
        <w:t>, Japan); for the 222 patients with platelet counts &lt;30,000/</w:t>
      </w:r>
      <w:proofErr w:type="spellStart"/>
      <w:r w:rsidRPr="003765D3">
        <w:rPr>
          <w:rFonts w:ascii="Arial" w:eastAsia="Times New Roman" w:hAnsi="Arial" w:cs="Arial"/>
        </w:rPr>
        <w:t>microL</w:t>
      </w:r>
      <w:proofErr w:type="spellEnd"/>
      <w:r w:rsidRPr="003765D3">
        <w:rPr>
          <w:rFonts w:ascii="Arial" w:eastAsia="Times New Roman" w:hAnsi="Arial" w:cs="Arial"/>
        </w:rPr>
        <w:t>, overall and complete response rates were 35 and 20 percent, respectively. The single randomized trial of H. pylori eradication was performed in 25 Japanese adults who tested positive for H. pylori by gastroscopy and culture; this showed a platelet count response in the 6 of 13 patients in the eradication group (46 percent) compared with no responses in the control group [</w:t>
      </w:r>
      <w:hyperlink r:id="rId149" w:history="1">
        <w:r w:rsidRPr="003765D3">
          <w:rPr>
            <w:rFonts w:ascii="Arial" w:eastAsia="Times New Roman" w:hAnsi="Arial" w:cs="Arial"/>
            <w:color w:val="00905A"/>
            <w:u w:val="single"/>
          </w:rPr>
          <w:t>54</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Details of the diagnostic testing and therapy for H. pylori infection are discussed separately. (See </w:t>
      </w:r>
      <w:hyperlink r:id="rId150" w:history="1">
        <w:r w:rsidRPr="003765D3">
          <w:rPr>
            <w:rFonts w:ascii="Arial" w:eastAsia="Times New Roman" w:hAnsi="Arial" w:cs="Arial"/>
            <w:color w:val="00905A"/>
            <w:u w:val="single"/>
          </w:rPr>
          <w:t>"Indications and diagnostic tests for Helicobacter pylori infection"</w:t>
        </w:r>
      </w:hyperlink>
      <w:r w:rsidRPr="003765D3">
        <w:rPr>
          <w:rFonts w:ascii="Arial" w:eastAsia="Times New Roman" w:hAnsi="Arial" w:cs="Arial"/>
        </w:rPr>
        <w:t> and </w:t>
      </w:r>
      <w:hyperlink r:id="rId151" w:history="1">
        <w:r w:rsidRPr="003765D3">
          <w:rPr>
            <w:rFonts w:ascii="Arial" w:eastAsia="Times New Roman" w:hAnsi="Arial" w:cs="Arial"/>
            <w:color w:val="00905A"/>
            <w:u w:val="single"/>
          </w:rPr>
          <w:t>"Treatment regimens for Helicobacter pylori"</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High risk physical activities</w:t>
      </w:r>
      <w:r w:rsidRPr="003765D3">
        <w:rPr>
          <w:rFonts w:ascii="Arial" w:eastAsia="Times New Roman" w:hAnsi="Arial" w:cs="Arial"/>
        </w:rPr>
        <w:t> — </w:t>
      </w:r>
      <w:proofErr w:type="gramStart"/>
      <w:r w:rsidRPr="003765D3">
        <w:rPr>
          <w:rFonts w:ascii="Arial" w:eastAsia="Times New Roman" w:hAnsi="Arial" w:cs="Arial"/>
        </w:rPr>
        <w:t>For</w:t>
      </w:r>
      <w:proofErr w:type="gramEnd"/>
      <w:r w:rsidRPr="003765D3">
        <w:rPr>
          <w:rFonts w:ascii="Arial" w:eastAsia="Times New Roman" w:hAnsi="Arial" w:cs="Arial"/>
        </w:rPr>
        <w:t xml:space="preserve"> some patients, participation in athletic activities, military careers, or other careers with a high risk of trauma may increase the risk of bleeding due to thrombocytopenia. Patients should be counselled regarding the bleeding risks, although this may be difficult to predict for any individual patient. The risk of bleeding may be increased in patients with platelet counts &lt;50,000/</w:t>
      </w:r>
      <w:proofErr w:type="spellStart"/>
      <w:r w:rsidRPr="003765D3">
        <w:rPr>
          <w:rFonts w:ascii="Arial" w:eastAsia="Times New Roman" w:hAnsi="Arial" w:cs="Arial"/>
        </w:rPr>
        <w:t>microL</w:t>
      </w:r>
      <w:proofErr w:type="spellEnd"/>
      <w:r w:rsidRPr="003765D3">
        <w:rPr>
          <w:rFonts w:ascii="Arial" w:eastAsia="Times New Roman" w:hAnsi="Arial" w:cs="Arial"/>
        </w:rPr>
        <w:t> and should be similar to the general population in patients with a platelet count &gt;100,000/</w:t>
      </w:r>
      <w:proofErr w:type="spellStart"/>
      <w:r w:rsidRPr="003765D3">
        <w:rPr>
          <w:rFonts w:ascii="Arial" w:eastAsia="Times New Roman" w:hAnsi="Arial" w:cs="Arial"/>
        </w:rPr>
        <w:t>microL</w:t>
      </w:r>
      <w:proofErr w:type="spellEnd"/>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We generally do not alter management in order to facilitate participation in high-risk activities; however, depending on the value placed by patients on participation in high risk activities, we have occasionally used interventions that are typically reserved for severe thrombocytopenia, despite the less favorable risk-benefit ratio of this approach. These situations require a shared decision between the physician and patient and ongoing communication.</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PROGNOSIS</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Disease course</w:t>
      </w:r>
      <w:r w:rsidRPr="003765D3">
        <w:rPr>
          <w:rFonts w:ascii="Arial" w:eastAsia="Times New Roman" w:hAnsi="Arial" w:cs="Arial"/>
        </w:rPr>
        <w:t> — </w:t>
      </w:r>
      <w:proofErr w:type="gramStart"/>
      <w:r w:rsidRPr="003765D3">
        <w:rPr>
          <w:rFonts w:ascii="Arial" w:eastAsia="Times New Roman" w:hAnsi="Arial" w:cs="Arial"/>
        </w:rPr>
        <w:t>Most</w:t>
      </w:r>
      <w:proofErr w:type="gramEnd"/>
      <w:r w:rsidRPr="003765D3">
        <w:rPr>
          <w:rFonts w:ascii="Arial" w:eastAsia="Times New Roman" w:hAnsi="Arial" w:cs="Arial"/>
        </w:rPr>
        <w:t xml:space="preserve"> adults with ITP will eventually reach a safe, stable platelet count. However, many will require one or more therapies, and some may have bleeding complications if their thrombocytopenia is severe and/or they have other comorbidities that predispose to bleeding.</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Spontaneous remission</w:t>
      </w:r>
      <w:r w:rsidRPr="003765D3">
        <w:rPr>
          <w:rFonts w:ascii="Arial" w:eastAsia="Times New Roman" w:hAnsi="Arial" w:cs="Arial"/>
        </w:rPr>
        <w:t> – Spontaneous remission occurs in up to 10 percent of adults with ITP [</w:t>
      </w:r>
      <w:hyperlink r:id="rId152" w:history="1">
        <w:r w:rsidRPr="003765D3">
          <w:rPr>
            <w:rFonts w:ascii="Arial" w:eastAsia="Times New Roman" w:hAnsi="Arial" w:cs="Arial"/>
            <w:color w:val="00905A"/>
            <w:u w:val="single"/>
          </w:rPr>
          <w:t>8</w:t>
        </w:r>
        <w:proofErr w:type="gramStart"/>
        <w:r w:rsidRPr="003765D3">
          <w:rPr>
            <w:rFonts w:ascii="Arial" w:eastAsia="Times New Roman" w:hAnsi="Arial" w:cs="Arial"/>
            <w:color w:val="00905A"/>
            <w:u w:val="single"/>
          </w:rPr>
          <w:t>,10,55</w:t>
        </w:r>
        <w:proofErr w:type="gramEnd"/>
      </w:hyperlink>
      <w:r w:rsidRPr="003765D3">
        <w:rPr>
          <w:rFonts w:ascii="Arial" w:eastAsia="Times New Roman" w:hAnsi="Arial" w:cs="Arial"/>
        </w:rPr>
        <w:t>]. These often occur within the first six months, but platelet count improvements years later have also been reported [</w:t>
      </w:r>
      <w:hyperlink r:id="rId153" w:history="1">
        <w:r w:rsidRPr="003765D3">
          <w:rPr>
            <w:rFonts w:ascii="Arial" w:eastAsia="Times New Roman" w:hAnsi="Arial" w:cs="Arial"/>
            <w:color w:val="00905A"/>
            <w:u w:val="single"/>
          </w:rPr>
          <w:t>10</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Arial" w:eastAsia="Times New Roman" w:hAnsi="Arial" w:cs="Arial"/>
        </w:rPr>
        <w:t>Some cases of apparent spontaneous remission may actually represent self-limited forms of thrombocytopenia due to other causes, especially drugs, which may have been overlooked. As an example, a series of 343 adults with suspected ITP reassigned the diagnosis of 28 patients (8 percent) as drug-induced thrombocytopenia [</w:t>
      </w:r>
      <w:hyperlink r:id="rId154" w:history="1">
        <w:r w:rsidRPr="003765D3">
          <w:rPr>
            <w:rFonts w:ascii="Arial" w:eastAsia="Times New Roman" w:hAnsi="Arial" w:cs="Arial"/>
            <w:color w:val="00905A"/>
            <w:u w:val="single"/>
          </w:rPr>
          <w:t>10</w:t>
        </w:r>
      </w:hyperlink>
      <w:r w:rsidRPr="003765D3">
        <w:rPr>
          <w:rFonts w:ascii="Arial" w:eastAsia="Times New Roman" w:hAnsi="Arial" w:cs="Arial"/>
        </w:rPr>
        <w:t>]. </w:t>
      </w:r>
      <w:hyperlink r:id="rId155" w:history="1">
        <w:r w:rsidRPr="003765D3">
          <w:rPr>
            <w:rFonts w:ascii="Arial" w:eastAsia="Times New Roman" w:hAnsi="Arial" w:cs="Arial"/>
            <w:color w:val="00905A"/>
            <w:u w:val="single"/>
          </w:rPr>
          <w:t>Quinine</w:t>
        </w:r>
      </w:hyperlink>
      <w:r w:rsidRPr="003765D3">
        <w:rPr>
          <w:rFonts w:ascii="Arial" w:eastAsia="Times New Roman" w:hAnsi="Arial" w:cs="Arial"/>
        </w:rPr>
        <w:t> was the most commonly implicated agent (13 patients; half of drug-induced cases). An additional 22 patients (6 percent) had a clinical or laboratory evidence of a preceding infection (</w:t>
      </w:r>
      <w:proofErr w:type="spellStart"/>
      <w:r w:rsidRPr="003765D3">
        <w:rPr>
          <w:rFonts w:ascii="Arial" w:eastAsia="Times New Roman" w:hAnsi="Arial" w:cs="Arial"/>
        </w:rPr>
        <w:t>eg</w:t>
      </w:r>
      <w:proofErr w:type="spellEnd"/>
      <w:r w:rsidRPr="003765D3">
        <w:rPr>
          <w:rFonts w:ascii="Arial" w:eastAsia="Times New Roman" w:hAnsi="Arial" w:cs="Arial"/>
        </w:rPr>
        <w:t xml:space="preserve">, infectious </w:t>
      </w:r>
      <w:r w:rsidRPr="003765D3">
        <w:rPr>
          <w:rFonts w:ascii="Arial" w:eastAsia="Times New Roman" w:hAnsi="Arial" w:cs="Arial"/>
        </w:rPr>
        <w:lastRenderedPageBreak/>
        <w:t>mononucleosis). These findings emphasize the importance of making a correct initial diagnosis. (See </w:t>
      </w:r>
      <w:hyperlink r:id="rId156" w:history="1">
        <w:r w:rsidRPr="003765D3">
          <w:rPr>
            <w:rFonts w:ascii="Arial" w:eastAsia="Times New Roman" w:hAnsi="Arial" w:cs="Arial"/>
            <w:color w:val="00905A"/>
            <w:u w:val="single"/>
          </w:rPr>
          <w:t>"Immune thrombocytopenia (ITP) in adults: Clinical manifestations and diagnosis"</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Stable disease without ongoing treatment</w:t>
      </w:r>
      <w:r w:rsidRPr="003765D3">
        <w:rPr>
          <w:rFonts w:ascii="Arial" w:eastAsia="Times New Roman" w:hAnsi="Arial" w:cs="Arial"/>
        </w:rPr>
        <w:t> – The majority of adults with ITP will eventually reach a stable, safe platelet count, as a result of spontaneous remission or therapy. The likelihood of stable disease with first-line treatment ranges from one-third to two-thirds [</w:t>
      </w:r>
      <w:hyperlink r:id="rId157" w:history="1">
        <w:r w:rsidRPr="003765D3">
          <w:rPr>
            <w:rFonts w:ascii="Arial" w:eastAsia="Times New Roman" w:hAnsi="Arial" w:cs="Arial"/>
            <w:color w:val="00905A"/>
            <w:u w:val="single"/>
          </w:rPr>
          <w:t>10</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Arial" w:eastAsia="Times New Roman" w:hAnsi="Arial" w:cs="Arial"/>
        </w:rPr>
        <w:t>Some patients may require additional second-line or other therapies. As an example, in a series of 242 patients, 30 (12 percent) required eventual splenectomy [</w:t>
      </w:r>
      <w:hyperlink r:id="rId158" w:history="1">
        <w:r w:rsidRPr="003765D3">
          <w:rPr>
            <w:rFonts w:ascii="Arial" w:eastAsia="Times New Roman" w:hAnsi="Arial" w:cs="Arial"/>
            <w:color w:val="00905A"/>
            <w:u w:val="single"/>
          </w:rPr>
          <w:t>10</w:t>
        </w:r>
      </w:hyperlink>
      <w:r w:rsidRPr="003765D3">
        <w:rPr>
          <w:rFonts w:ascii="Arial" w:eastAsia="Times New Roman" w:hAnsi="Arial" w:cs="Arial"/>
        </w:rPr>
        <w:t>]. Second-line and subsequent therapy for ITP is discussed in detail separately. (See </w:t>
      </w:r>
      <w:hyperlink r:id="rId159" w:history="1">
        <w:r w:rsidRPr="003765D3">
          <w:rPr>
            <w:rFonts w:ascii="Arial" w:eastAsia="Times New Roman" w:hAnsi="Arial" w:cs="Arial"/>
            <w:color w:val="00905A"/>
            <w:u w:val="single"/>
          </w:rPr>
          <w:t>"Immune thrombocytopenia (ITP) in adults: Second-line and subsequent therapies"</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b/>
          <w:bCs/>
        </w:rPr>
        <w:t>Development of an ITP-associated condition or other autoimmune disorder</w:t>
      </w:r>
      <w:r w:rsidRPr="003765D3">
        <w:rPr>
          <w:rFonts w:ascii="Arial" w:eastAsia="Times New Roman" w:hAnsi="Arial" w:cs="Arial"/>
        </w:rPr>
        <w:t> – The risk of developing a rheumatologic or hematologic condition associated with ITP, such as systemic lupus erythematosus (SLE) or chronic lymphocytic leukemia (CLL), is unknown. A series of 152 patients reclassified 12 individuals as having secondary ITP (8 percent) during two years of evaluation [</w:t>
      </w:r>
      <w:hyperlink r:id="rId160" w:history="1">
        <w:r w:rsidRPr="003765D3">
          <w:rPr>
            <w:rFonts w:ascii="Arial" w:eastAsia="Times New Roman" w:hAnsi="Arial" w:cs="Arial"/>
            <w:color w:val="00905A"/>
            <w:u w:val="single"/>
          </w:rPr>
          <w:t>9</w:t>
        </w:r>
      </w:hyperlink>
      <w:r w:rsidRPr="003765D3">
        <w:rPr>
          <w:rFonts w:ascii="Arial" w:eastAsia="Times New Roman" w:hAnsi="Arial" w:cs="Arial"/>
        </w:rPr>
        <w:t>]. Case series have not shown a particularly high incidence of developing overt autoimmune disease (</w:t>
      </w:r>
      <w:proofErr w:type="spellStart"/>
      <w:r w:rsidRPr="003765D3">
        <w:rPr>
          <w:rFonts w:ascii="Arial" w:eastAsia="Times New Roman" w:hAnsi="Arial" w:cs="Arial"/>
        </w:rPr>
        <w:t>eg</w:t>
      </w:r>
      <w:proofErr w:type="spellEnd"/>
      <w:r w:rsidRPr="003765D3">
        <w:rPr>
          <w:rFonts w:ascii="Arial" w:eastAsia="Times New Roman" w:hAnsi="Arial" w:cs="Arial"/>
        </w:rPr>
        <w:t>, autoimmune thyroiditis). As an example, in a series of 208 adults with ITP (median age, 44 years) who were monitored for up to 12 years from diagnosis, only four developed another autoimmune condition (2 percent) [</w:t>
      </w:r>
      <w:hyperlink r:id="rId161" w:history="1">
        <w:r w:rsidRPr="003765D3">
          <w:rPr>
            <w:rFonts w:ascii="Arial" w:eastAsia="Times New Roman" w:hAnsi="Arial" w:cs="Arial"/>
            <w:color w:val="00905A"/>
            <w:u w:val="single"/>
          </w:rPr>
          <w:t>8</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Mortality</w:t>
      </w:r>
      <w:r w:rsidRPr="003765D3">
        <w:rPr>
          <w:rFonts w:ascii="Arial" w:eastAsia="Times New Roman" w:hAnsi="Arial" w:cs="Arial"/>
        </w:rPr>
        <w:t> — The mortality of ITP is considered to be similar to or only marginally higher than an age-matched population, despite the possibility of fatal hemorrhage from thrombocytopenia or infection in the setting of therapies that cause immunosuppression [</w:t>
      </w:r>
      <w:hyperlink r:id="rId162" w:history="1">
        <w:r w:rsidRPr="003765D3">
          <w:rPr>
            <w:rFonts w:ascii="Arial" w:eastAsia="Times New Roman" w:hAnsi="Arial" w:cs="Arial"/>
            <w:color w:val="00905A"/>
            <w:u w:val="single"/>
          </w:rPr>
          <w:t>5</w:t>
        </w:r>
        <w:proofErr w:type="gramStart"/>
        <w:r w:rsidRPr="003765D3">
          <w:rPr>
            <w:rFonts w:ascii="Arial" w:eastAsia="Times New Roman" w:hAnsi="Arial" w:cs="Arial"/>
            <w:color w:val="00905A"/>
            <w:u w:val="single"/>
          </w:rPr>
          <w:t>,8</w:t>
        </w:r>
        <w:proofErr w:type="gramEnd"/>
        <w:r w:rsidRPr="003765D3">
          <w:rPr>
            <w:rFonts w:ascii="Arial" w:eastAsia="Times New Roman" w:hAnsi="Arial" w:cs="Arial"/>
            <w:color w:val="00905A"/>
            <w:u w:val="single"/>
          </w:rPr>
          <w:t>-10,55-58</w:t>
        </w:r>
      </w:hyperlink>
      <w:r w:rsidRPr="003765D3">
        <w:rPr>
          <w:rFonts w:ascii="Arial" w:eastAsia="Times New Roman" w:hAnsi="Arial" w:cs="Arial"/>
        </w:rPr>
        <w:t>]. Patients with ITP are more likely to die of conditions unrelated to ITP than to ITP or its treatment.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The following examples illustrate the mortality rates and causes of death:</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A series of 152 adults followed for slightly over nine years reported 21 deaths (14 percent) [</w:t>
      </w:r>
      <w:hyperlink r:id="rId163" w:history="1">
        <w:r w:rsidRPr="003765D3">
          <w:rPr>
            <w:rFonts w:ascii="Arial" w:eastAsia="Times New Roman" w:hAnsi="Arial" w:cs="Arial"/>
            <w:color w:val="00905A"/>
            <w:u w:val="single"/>
          </w:rPr>
          <w:t>9</w:t>
        </w:r>
      </w:hyperlink>
      <w:r w:rsidRPr="003765D3">
        <w:rPr>
          <w:rFonts w:ascii="Arial" w:eastAsia="Times New Roman" w:hAnsi="Arial" w:cs="Arial"/>
        </w:rPr>
        <w:t>]. There were six ITP-related deaths (4 percent; two from bleeding and four from infection, which may have been a complication of immunosuppressive treatment), four cases of sudden death (3 percent), and 11 deaths unrelated to ITP (7 percent).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A series of 245 adults followed for five years reported 27 deaths (11 percent) [</w:t>
      </w:r>
      <w:hyperlink r:id="rId164" w:history="1">
        <w:r w:rsidRPr="003765D3">
          <w:rPr>
            <w:rFonts w:ascii="Arial" w:eastAsia="Times New Roman" w:hAnsi="Arial" w:cs="Arial"/>
            <w:color w:val="00905A"/>
            <w:u w:val="single"/>
          </w:rPr>
          <w:t>10</w:t>
        </w:r>
      </w:hyperlink>
      <w:r w:rsidRPr="003765D3">
        <w:rPr>
          <w:rFonts w:ascii="Arial" w:eastAsia="Times New Roman" w:hAnsi="Arial" w:cs="Arial"/>
        </w:rPr>
        <w:t>]. Three of these were attributed to hemorrhage, one to sepsis following splenectomy, and the rest to non-ITP causes.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A series 208 adults reexamined 14 years after their initial ITP diagnosis reported 11 deaths (5 percent) [</w:t>
      </w:r>
      <w:hyperlink r:id="rId165" w:history="1">
        <w:r w:rsidRPr="003765D3">
          <w:rPr>
            <w:rFonts w:ascii="Arial" w:eastAsia="Times New Roman" w:hAnsi="Arial" w:cs="Arial"/>
            <w:color w:val="00905A"/>
            <w:u w:val="single"/>
          </w:rPr>
          <w:t>8</w:t>
        </w:r>
      </w:hyperlink>
      <w:r w:rsidRPr="003765D3">
        <w:rPr>
          <w:rFonts w:ascii="Arial" w:eastAsia="Times New Roman" w:hAnsi="Arial" w:cs="Arial"/>
        </w:rPr>
        <w:t>]. Five were from bleeding and six from causes unrelated to ITP.</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A series of 310 adults and children followed for 10 years reported a single hemorrhagic death in a 43-year-old with longstanding severe thrombocytopenia [</w:t>
      </w:r>
      <w:hyperlink r:id="rId166" w:history="1">
        <w:r w:rsidRPr="003765D3">
          <w:rPr>
            <w:rFonts w:ascii="Arial" w:eastAsia="Times New Roman" w:hAnsi="Arial" w:cs="Arial"/>
            <w:color w:val="00905A"/>
            <w:u w:val="single"/>
          </w:rPr>
          <w:t>57</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lastRenderedPageBreak/>
        <w:t>SOCIETY GUIDELINE LINKS</w:t>
      </w:r>
      <w:r w:rsidRPr="003765D3">
        <w:rPr>
          <w:rFonts w:ascii="Arial" w:eastAsia="Times New Roman" w:hAnsi="Arial" w:cs="Arial"/>
        </w:rPr>
        <w:t> — Links to society and government-sponsored guidelines from selected countries and regions around the world are provided separately. (See </w:t>
      </w:r>
      <w:hyperlink r:id="rId167" w:history="1">
        <w:r w:rsidRPr="003765D3">
          <w:rPr>
            <w:rFonts w:ascii="Arial" w:eastAsia="Times New Roman" w:hAnsi="Arial" w:cs="Arial"/>
            <w:color w:val="00905A"/>
            <w:u w:val="single"/>
          </w:rPr>
          <w:t>"Society guideline links: Immune thrombocytopenia (ITP) and other platelet disorders"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INFORMATION FOR PATIENTS</w:t>
      </w:r>
      <w:r w:rsidRPr="003765D3">
        <w:rPr>
          <w:rFonts w:ascii="Arial" w:eastAsia="Times New Roman" w:hAnsi="Arial" w:cs="Arial"/>
        </w:rPr>
        <w:t> — UpToDate offers two types of patient education materials, "The Basics" and "Beyond the Basics." The Basics patient education pieces are written in plain language, at the 5</w:t>
      </w:r>
      <w:r w:rsidRPr="003765D3">
        <w:rPr>
          <w:rFonts w:ascii="Arial" w:eastAsia="Times New Roman" w:hAnsi="Arial" w:cs="Arial"/>
          <w:sz w:val="16"/>
          <w:szCs w:val="16"/>
          <w:vertAlign w:val="superscript"/>
        </w:rPr>
        <w:t>th</w:t>
      </w:r>
      <w:r w:rsidRPr="003765D3">
        <w:rPr>
          <w:rFonts w:ascii="Arial" w:eastAsia="Times New Roman" w:hAnsi="Arial" w:cs="Arial"/>
        </w:rPr>
        <w:t> to 6</w:t>
      </w:r>
      <w:r w:rsidRPr="003765D3">
        <w:rPr>
          <w:rFonts w:ascii="Arial" w:eastAsia="Times New Roman" w:hAnsi="Arial" w:cs="Arial"/>
          <w:sz w:val="16"/>
          <w:szCs w:val="16"/>
          <w:vertAlign w:val="superscript"/>
        </w:rPr>
        <w:t>th</w:t>
      </w:r>
      <w:r w:rsidRPr="003765D3">
        <w:rPr>
          <w:rFonts w:ascii="Arial" w:eastAsia="Times New Roman" w:hAnsi="Arial" w:cs="Arial"/>
        </w:rPr>
        <w:t> grade reading level, and they answer the four or five key questions a patient might have about a given condition. These articles are best for patients who want a general overview and who prefer short, easy-to-read materials. Beyond the Basics patient education pieces are longer, more sophisticated, and more detailed. These articles are written at the 10</w:t>
      </w:r>
      <w:r w:rsidRPr="003765D3">
        <w:rPr>
          <w:rFonts w:ascii="Arial" w:eastAsia="Times New Roman" w:hAnsi="Arial" w:cs="Arial"/>
          <w:sz w:val="16"/>
          <w:szCs w:val="16"/>
          <w:vertAlign w:val="superscript"/>
        </w:rPr>
        <w:t>th</w:t>
      </w:r>
      <w:r w:rsidRPr="003765D3">
        <w:rPr>
          <w:rFonts w:ascii="Arial" w:eastAsia="Times New Roman" w:hAnsi="Arial" w:cs="Arial"/>
        </w:rPr>
        <w:t> to 12</w:t>
      </w:r>
      <w:r w:rsidRPr="003765D3">
        <w:rPr>
          <w:rFonts w:ascii="Arial" w:eastAsia="Times New Roman" w:hAnsi="Arial" w:cs="Arial"/>
          <w:sz w:val="16"/>
          <w:szCs w:val="16"/>
          <w:vertAlign w:val="superscript"/>
        </w:rPr>
        <w:t>th</w:t>
      </w:r>
      <w:r w:rsidRPr="003765D3">
        <w:rPr>
          <w:rFonts w:ascii="Arial" w:eastAsia="Times New Roman" w:hAnsi="Arial" w:cs="Arial"/>
        </w:rPr>
        <w:t> grade reading level and are best for patients who want in-depth information and are comfortable with some medical jargon.</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rPr>
        <w:t>Here are the patient education articles that are relevant to this topic. We encourage you to print or e-mail these topics to your patients. (You can also locate patient education articles on a variety of subjects by searching on "patient info" and the keyword(s) of interest.)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Basics topic (see </w:t>
      </w:r>
      <w:hyperlink r:id="rId168" w:history="1">
        <w:r w:rsidRPr="003765D3">
          <w:rPr>
            <w:rFonts w:ascii="Arial" w:eastAsia="Times New Roman" w:hAnsi="Arial" w:cs="Arial"/>
            <w:color w:val="00905A"/>
            <w:u w:val="single"/>
          </w:rPr>
          <w:t>"Patient education: Immune thrombocytopenia (ITP) (The Basics)"</w:t>
        </w:r>
      </w:hyperlink>
      <w:r w:rsidRPr="003765D3">
        <w:rPr>
          <w:rFonts w:ascii="Arial" w:eastAsia="Times New Roman" w:hAnsi="Arial" w:cs="Arial"/>
        </w:rPr>
        <w:t>)</w:t>
      </w:r>
    </w:p>
    <w:p w:rsidR="003765D3" w:rsidRPr="003765D3" w:rsidRDefault="003765D3" w:rsidP="003765D3">
      <w:pPr>
        <w:spacing w:before="216" w:after="216" w:line="302" w:lineRule="atLeast"/>
        <w:rPr>
          <w:rFonts w:ascii="Arial" w:eastAsia="Times New Roman" w:hAnsi="Arial" w:cs="Arial"/>
        </w:rPr>
      </w:pPr>
      <w:r w:rsidRPr="003765D3">
        <w:rPr>
          <w:rFonts w:ascii="Arial" w:eastAsia="Times New Roman" w:hAnsi="Arial" w:cs="Arial"/>
          <w:b/>
          <w:bCs/>
        </w:rPr>
        <w:t>SUMMARY AND RECOMMENDATIONS</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The goal of immune thrombocytopenia (ITP) treatment is to provide a safe platelet count in order to prevent clinically important bleeding, rather than to normalize the platelet count. The overall risk of bleeding in ITP is low, but severe and life-threatening bleeding can occur. Bleeding risk is greatest in individuals with platelet counts less than 10,000/</w:t>
      </w:r>
      <w:proofErr w:type="spellStart"/>
      <w:r w:rsidRPr="003765D3">
        <w:rPr>
          <w:rFonts w:ascii="Arial" w:eastAsia="Times New Roman" w:hAnsi="Arial" w:cs="Arial"/>
        </w:rPr>
        <w:t>microL</w:t>
      </w:r>
      <w:proofErr w:type="spellEnd"/>
      <w:r w:rsidRPr="003765D3">
        <w:rPr>
          <w:rFonts w:ascii="Arial" w:eastAsia="Times New Roman" w:hAnsi="Arial" w:cs="Arial"/>
        </w:rPr>
        <w:t>. (See </w:t>
      </w:r>
      <w:hyperlink r:id="rId169" w:anchor="H6197902" w:history="1">
        <w:r w:rsidRPr="003765D3">
          <w:rPr>
            <w:rFonts w:ascii="Arial" w:eastAsia="Times New Roman" w:hAnsi="Arial" w:cs="Arial"/>
            <w:color w:val="00905A"/>
            <w:u w:val="single"/>
          </w:rPr>
          <w:t>'Overview of our approach'</w:t>
        </w:r>
      </w:hyperlink>
      <w:r w:rsidRPr="003765D3">
        <w:rPr>
          <w:rFonts w:ascii="Arial" w:eastAsia="Times New Roman" w:hAnsi="Arial" w:cs="Arial"/>
        </w:rPr>
        <w:t> above.)</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For all patients with severe bleeding (</w:t>
      </w:r>
      <w:proofErr w:type="spellStart"/>
      <w:r w:rsidRPr="003765D3">
        <w:rPr>
          <w:rFonts w:ascii="Arial" w:eastAsia="Times New Roman" w:hAnsi="Arial" w:cs="Arial"/>
        </w:rPr>
        <w:t>eg</w:t>
      </w:r>
      <w:proofErr w:type="spellEnd"/>
      <w:r w:rsidRPr="003765D3">
        <w:rPr>
          <w:rFonts w:ascii="Arial" w:eastAsia="Times New Roman" w:hAnsi="Arial" w:cs="Arial"/>
        </w:rPr>
        <w:t>, intracranial, gastrointestinal) and a platelet count &lt;30,000/</w:t>
      </w:r>
      <w:proofErr w:type="spellStart"/>
      <w:r w:rsidRPr="003765D3">
        <w:rPr>
          <w:rFonts w:ascii="Arial" w:eastAsia="Times New Roman" w:hAnsi="Arial" w:cs="Arial"/>
        </w:rPr>
        <w:t>microL</w:t>
      </w:r>
      <w:proofErr w:type="spellEnd"/>
      <w:r w:rsidRPr="003765D3">
        <w:rPr>
          <w:rFonts w:ascii="Arial" w:eastAsia="Times New Roman" w:hAnsi="Arial" w:cs="Arial"/>
        </w:rPr>
        <w:t>, we recommend immediate platelet transfusion along with ITP-specific therapy including intravenous </w:t>
      </w:r>
      <w:hyperlink r:id="rId170" w:history="1">
        <w:r w:rsidRPr="003765D3">
          <w:rPr>
            <w:rFonts w:ascii="Arial" w:eastAsia="Times New Roman" w:hAnsi="Arial" w:cs="Arial"/>
            <w:color w:val="00905A"/>
            <w:u w:val="single"/>
          </w:rPr>
          <w:t>immune globulin</w:t>
        </w:r>
      </w:hyperlink>
      <w:r w:rsidRPr="003765D3">
        <w:rPr>
          <w:rFonts w:ascii="Arial" w:eastAsia="Times New Roman" w:hAnsi="Arial" w:cs="Arial"/>
        </w:rPr>
        <w:t> (IVIG) and glucocorticoids (</w:t>
      </w:r>
      <w:hyperlink r:id="rId171" w:history="1">
        <w:r w:rsidRPr="003765D3">
          <w:rPr>
            <w:rFonts w:ascii="Arial" w:eastAsia="Times New Roman" w:hAnsi="Arial" w:cs="Arial"/>
            <w:b/>
            <w:bCs/>
            <w:color w:val="00905A"/>
            <w:u w:val="single"/>
          </w:rPr>
          <w:t>Grade 1C</w:t>
        </w:r>
      </w:hyperlink>
      <w:r w:rsidRPr="003765D3">
        <w:rPr>
          <w:rFonts w:ascii="Arial" w:eastAsia="Times New Roman" w:hAnsi="Arial" w:cs="Arial"/>
        </w:rPr>
        <w:t>). Platelet transfusions are also appropriate for some patients with higher platelet counts and bleeding in critical sites; early involvement of the consulting hematologist is advised. Platelet transfusions may be effective even if the post-transfusion platelet count does not increase. (See </w:t>
      </w:r>
      <w:hyperlink r:id="rId172" w:anchor="H28169821" w:history="1">
        <w:r w:rsidRPr="003765D3">
          <w:rPr>
            <w:rFonts w:ascii="Arial" w:eastAsia="Times New Roman" w:hAnsi="Arial" w:cs="Arial"/>
            <w:color w:val="00905A"/>
            <w:u w:val="single"/>
          </w:rPr>
          <w:t>'Treatment of bleeding'</w:t>
        </w:r>
      </w:hyperlink>
      <w:r w:rsidRPr="003765D3">
        <w:rPr>
          <w:rFonts w:ascii="Arial" w:eastAsia="Times New Roman" w:hAnsi="Arial" w:cs="Arial"/>
        </w:rPr>
        <w:t> above.)</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For all patients with a new diagnosis of ITP and any clinically important bleeding, we recommend ITP-specific therapy rather than observation (</w:t>
      </w:r>
      <w:hyperlink r:id="rId173" w:history="1">
        <w:r w:rsidRPr="003765D3">
          <w:rPr>
            <w:rFonts w:ascii="Arial" w:eastAsia="Times New Roman" w:hAnsi="Arial" w:cs="Arial"/>
            <w:color w:val="00905A"/>
            <w:u w:val="single"/>
          </w:rPr>
          <w:t>algorithm 1</w:t>
        </w:r>
      </w:hyperlink>
      <w:r w:rsidRPr="003765D3">
        <w:rPr>
          <w:rFonts w:ascii="Arial" w:eastAsia="Times New Roman" w:hAnsi="Arial" w:cs="Arial"/>
        </w:rPr>
        <w:t>) (</w:t>
      </w:r>
      <w:hyperlink r:id="rId174" w:history="1">
        <w:r w:rsidRPr="003765D3">
          <w:rPr>
            <w:rFonts w:ascii="Arial" w:eastAsia="Times New Roman" w:hAnsi="Arial" w:cs="Arial"/>
            <w:b/>
            <w:bCs/>
            <w:color w:val="00905A"/>
            <w:u w:val="single"/>
          </w:rPr>
          <w:t>Grade 1B</w:t>
        </w:r>
      </w:hyperlink>
      <w:r w:rsidRPr="003765D3">
        <w:rPr>
          <w:rFonts w:ascii="Arial" w:eastAsia="Times New Roman" w:hAnsi="Arial" w:cs="Arial"/>
        </w:rPr>
        <w:t>). We also suggest ITP-specific therapy for patients with a platelet count &lt;20,000 to 30,000/</w:t>
      </w:r>
      <w:proofErr w:type="spellStart"/>
      <w:proofErr w:type="gramStart"/>
      <w:r w:rsidRPr="003765D3">
        <w:rPr>
          <w:rFonts w:ascii="Arial" w:eastAsia="Times New Roman" w:hAnsi="Arial" w:cs="Arial"/>
        </w:rPr>
        <w:t>microL</w:t>
      </w:r>
      <w:proofErr w:type="spellEnd"/>
      <w:r w:rsidRPr="003765D3">
        <w:rPr>
          <w:rFonts w:ascii="Arial" w:eastAsia="Times New Roman" w:hAnsi="Arial" w:cs="Arial"/>
        </w:rPr>
        <w:t>(</w:t>
      </w:r>
      <w:proofErr w:type="gramEnd"/>
      <w:r w:rsidRPr="003765D3">
        <w:rPr>
          <w:rFonts w:ascii="Arial" w:eastAsia="Times New Roman" w:hAnsi="Arial" w:cs="Arial"/>
        </w:rPr>
        <w:fldChar w:fldCharType="begin"/>
      </w:r>
      <w:r w:rsidRPr="003765D3">
        <w:rPr>
          <w:rFonts w:ascii="Arial" w:eastAsia="Times New Roman" w:hAnsi="Arial" w:cs="Arial"/>
        </w:rPr>
        <w:instrText xml:space="preserve"> HYPERLINK "https://www.uptodate.com/contents/grade/5?title=Grade%202B&amp;topicKey=HEME/6677" </w:instrText>
      </w:r>
      <w:r w:rsidRPr="003765D3">
        <w:rPr>
          <w:rFonts w:ascii="Arial" w:eastAsia="Times New Roman" w:hAnsi="Arial" w:cs="Arial"/>
        </w:rPr>
        <w:fldChar w:fldCharType="separate"/>
      </w:r>
      <w:r w:rsidRPr="003765D3">
        <w:rPr>
          <w:rFonts w:ascii="Arial" w:eastAsia="Times New Roman" w:hAnsi="Arial" w:cs="Arial"/>
          <w:b/>
          <w:bCs/>
          <w:color w:val="00905A"/>
          <w:u w:val="single"/>
        </w:rPr>
        <w:t>Grade 2B</w:t>
      </w:r>
      <w:r w:rsidRPr="003765D3">
        <w:rPr>
          <w:rFonts w:ascii="Arial" w:eastAsia="Times New Roman" w:hAnsi="Arial" w:cs="Arial"/>
        </w:rPr>
        <w:fldChar w:fldCharType="end"/>
      </w:r>
      <w:r w:rsidRPr="003765D3">
        <w:rPr>
          <w:rFonts w:ascii="Arial" w:eastAsia="Times New Roman" w:hAnsi="Arial" w:cs="Arial"/>
        </w:rPr>
        <w:t>); our preference for therapy is generally stronger with lower platelet counts, and we treat the vast majority of patients with counts below 20,000/</w:t>
      </w:r>
      <w:proofErr w:type="spellStart"/>
      <w:r w:rsidRPr="003765D3">
        <w:rPr>
          <w:rFonts w:ascii="Arial" w:eastAsia="Times New Roman" w:hAnsi="Arial" w:cs="Arial"/>
        </w:rPr>
        <w:t>microL</w:t>
      </w:r>
      <w:proofErr w:type="spellEnd"/>
      <w:r w:rsidRPr="003765D3">
        <w:rPr>
          <w:rFonts w:ascii="Arial" w:eastAsia="Times New Roman" w:hAnsi="Arial" w:cs="Arial"/>
        </w:rPr>
        <w:t>. We suggest not administering ITP-specific therapy in the majority of patients with platelet counts &gt;30,000/</w:t>
      </w:r>
      <w:proofErr w:type="spellStart"/>
      <w:r w:rsidRPr="003765D3">
        <w:rPr>
          <w:rFonts w:ascii="Arial" w:eastAsia="Times New Roman" w:hAnsi="Arial" w:cs="Arial"/>
        </w:rPr>
        <w:t>microL</w:t>
      </w:r>
      <w:proofErr w:type="spellEnd"/>
      <w:r w:rsidRPr="003765D3">
        <w:rPr>
          <w:rFonts w:ascii="Arial" w:eastAsia="Times New Roman" w:hAnsi="Arial" w:cs="Arial"/>
        </w:rPr>
        <w:t> (</w:t>
      </w:r>
      <w:hyperlink r:id="rId175" w:history="1">
        <w:r w:rsidRPr="003765D3">
          <w:rPr>
            <w:rFonts w:ascii="Arial" w:eastAsia="Times New Roman" w:hAnsi="Arial" w:cs="Arial"/>
            <w:b/>
            <w:bCs/>
            <w:color w:val="00905A"/>
            <w:u w:val="single"/>
          </w:rPr>
          <w:t>Grade 2B</w:t>
        </w:r>
      </w:hyperlink>
      <w:r w:rsidRPr="003765D3">
        <w:rPr>
          <w:rFonts w:ascii="Arial" w:eastAsia="Times New Roman" w:hAnsi="Arial" w:cs="Arial"/>
        </w:rPr>
        <w:t>). (See </w:t>
      </w:r>
      <w:hyperlink r:id="rId176" w:anchor="H4" w:history="1">
        <w:r w:rsidRPr="003765D3">
          <w:rPr>
            <w:rFonts w:ascii="Arial" w:eastAsia="Times New Roman" w:hAnsi="Arial" w:cs="Arial"/>
            <w:color w:val="00905A"/>
            <w:u w:val="single"/>
          </w:rPr>
          <w:t>'Indications for treatment'</w:t>
        </w:r>
      </w:hyperlink>
      <w:r w:rsidRPr="003765D3">
        <w:rPr>
          <w:rFonts w:ascii="Arial" w:eastAsia="Times New Roman" w:hAnsi="Arial" w:cs="Arial"/>
        </w:rPr>
        <w:t> above.)</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lastRenderedPageBreak/>
        <w:t>●</w:t>
      </w:r>
      <w:r w:rsidRPr="003765D3">
        <w:rPr>
          <w:rFonts w:ascii="Arial" w:eastAsia="Times New Roman" w:hAnsi="Arial" w:cs="Arial"/>
        </w:rPr>
        <w:t>Before starting ITP therapy, we ensure that alternate diagnoses, such as drug-induced thrombocytopenia and congenital thrombocytopenia have been eliminated as conclusively as possible. We do not perform an extensive evaluation for underlying conditions associated with secondary ITP; however, it is appropriate to perform screening tests for human immunodeficiency virus (HIV) and hepatitis C virus (HCV) infection. Hepatitis B testing is necessary for patients who will receive </w:t>
      </w:r>
      <w:hyperlink r:id="rId177" w:history="1">
        <w:r w:rsidRPr="003765D3">
          <w:rPr>
            <w:rFonts w:ascii="Arial" w:eastAsia="Times New Roman" w:hAnsi="Arial" w:cs="Arial"/>
            <w:color w:val="00905A"/>
            <w:u w:val="single"/>
          </w:rPr>
          <w:t>rituximab</w:t>
        </w:r>
      </w:hyperlink>
      <w:r w:rsidRPr="003765D3">
        <w:rPr>
          <w:rFonts w:ascii="Arial" w:eastAsia="Times New Roman" w:hAnsi="Arial" w:cs="Arial"/>
        </w:rPr>
        <w:t> and may be done earlier. Patients should be current with all recommended routine immunizations; immunizations for encapsulated organisms should be provided to patients who are likely to undergo splenectomy, and may be provided to those who are likely to receive rituximab (</w:t>
      </w:r>
      <w:hyperlink r:id="rId178" w:history="1">
        <w:r w:rsidRPr="003765D3">
          <w:rPr>
            <w:rFonts w:ascii="Arial" w:eastAsia="Times New Roman" w:hAnsi="Arial" w:cs="Arial"/>
            <w:color w:val="00905A"/>
            <w:u w:val="single"/>
          </w:rPr>
          <w:t>figure 1</w:t>
        </w:r>
      </w:hyperlink>
      <w:r w:rsidRPr="003765D3">
        <w:rPr>
          <w:rFonts w:ascii="Arial" w:eastAsia="Times New Roman" w:hAnsi="Arial" w:cs="Arial"/>
        </w:rPr>
        <w:t> and </w:t>
      </w:r>
      <w:hyperlink r:id="rId179" w:history="1">
        <w:r w:rsidRPr="003765D3">
          <w:rPr>
            <w:rFonts w:ascii="Arial" w:eastAsia="Times New Roman" w:hAnsi="Arial" w:cs="Arial"/>
            <w:color w:val="00905A"/>
            <w:u w:val="single"/>
          </w:rPr>
          <w:t>figure 2</w:t>
        </w:r>
      </w:hyperlink>
      <w:r w:rsidRPr="003765D3">
        <w:rPr>
          <w:rFonts w:ascii="Arial" w:eastAsia="Times New Roman" w:hAnsi="Arial" w:cs="Arial"/>
        </w:rPr>
        <w:t>). (See </w:t>
      </w:r>
      <w:hyperlink r:id="rId180" w:anchor="H18960585" w:history="1">
        <w:r w:rsidRPr="003765D3">
          <w:rPr>
            <w:rFonts w:ascii="Arial" w:eastAsia="Times New Roman" w:hAnsi="Arial" w:cs="Arial"/>
            <w:color w:val="00905A"/>
            <w:u w:val="single"/>
          </w:rPr>
          <w:t>'Other therapeutic considerations'</w:t>
        </w:r>
      </w:hyperlink>
      <w:r w:rsidRPr="003765D3">
        <w:rPr>
          <w:rFonts w:ascii="Arial" w:eastAsia="Times New Roman" w:hAnsi="Arial" w:cs="Arial"/>
        </w:rPr>
        <w:t> above and </w:t>
      </w:r>
      <w:hyperlink r:id="rId181" w:history="1">
        <w:r w:rsidRPr="003765D3">
          <w:rPr>
            <w:rFonts w:ascii="Arial" w:eastAsia="Times New Roman" w:hAnsi="Arial" w:cs="Arial"/>
            <w:color w:val="00905A"/>
            <w:u w:val="single"/>
          </w:rPr>
          <w:t>"Immune thrombocytopenia (ITP) in adults: Clinical manifestations and diagnosis"</w:t>
        </w:r>
      </w:hyperlink>
      <w:r w:rsidRPr="003765D3">
        <w:rPr>
          <w:rFonts w:ascii="Arial" w:eastAsia="Times New Roman" w:hAnsi="Arial" w:cs="Arial"/>
        </w:rPr>
        <w:t> and </w:t>
      </w:r>
      <w:hyperlink r:id="rId182" w:history="1">
        <w:r w:rsidRPr="003765D3">
          <w:rPr>
            <w:rFonts w:ascii="Arial" w:eastAsia="Times New Roman" w:hAnsi="Arial" w:cs="Arial"/>
            <w:color w:val="00905A"/>
            <w:u w:val="single"/>
          </w:rPr>
          <w:t>"Immune thrombocytopenia (ITP) in adults: Second-line and subsequent therapies"</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For patients who require therapy, we suggest glucocorticoids rather than IVIG (</w:t>
      </w:r>
      <w:hyperlink r:id="rId183" w:history="1">
        <w:r w:rsidRPr="003765D3">
          <w:rPr>
            <w:rFonts w:ascii="Arial" w:eastAsia="Times New Roman" w:hAnsi="Arial" w:cs="Arial"/>
            <w:b/>
            <w:bCs/>
            <w:color w:val="00905A"/>
            <w:u w:val="single"/>
          </w:rPr>
          <w:t>Grade 2B</w:t>
        </w:r>
      </w:hyperlink>
      <w:r w:rsidRPr="003765D3">
        <w:rPr>
          <w:rFonts w:ascii="Arial" w:eastAsia="Times New Roman" w:hAnsi="Arial" w:cs="Arial"/>
        </w:rPr>
        <w:t>). Exceptions include patients who are unable to tolerate glucocorticoids, or those who require a more rapid increase in platelet count, in which case IVIG is used. For most patients treated with glucocorticoids, we suggest a short course of high-dose oral </w:t>
      </w:r>
      <w:hyperlink r:id="rId184" w:history="1">
        <w:r w:rsidRPr="003765D3">
          <w:rPr>
            <w:rFonts w:ascii="Arial" w:eastAsia="Times New Roman" w:hAnsi="Arial" w:cs="Arial"/>
            <w:color w:val="00905A"/>
            <w:u w:val="single"/>
          </w:rPr>
          <w:t>dexamethasone</w:t>
        </w:r>
      </w:hyperlink>
      <w:r w:rsidRPr="003765D3">
        <w:rPr>
          <w:rFonts w:ascii="Arial" w:eastAsia="Times New Roman" w:hAnsi="Arial" w:cs="Arial"/>
        </w:rPr>
        <w:t> rather than a more prolonged course of oral </w:t>
      </w:r>
      <w:hyperlink r:id="rId185" w:history="1">
        <w:r w:rsidRPr="003765D3">
          <w:rPr>
            <w:rFonts w:ascii="Arial" w:eastAsia="Times New Roman" w:hAnsi="Arial" w:cs="Arial"/>
            <w:color w:val="00905A"/>
            <w:u w:val="single"/>
          </w:rPr>
          <w:t>prednisone</w:t>
        </w:r>
      </w:hyperlink>
      <w:r w:rsidRPr="003765D3">
        <w:rPr>
          <w:rFonts w:ascii="Arial" w:eastAsia="Times New Roman" w:hAnsi="Arial" w:cs="Arial"/>
        </w:rPr>
        <w:t> (</w:t>
      </w:r>
      <w:hyperlink r:id="rId186" w:history="1">
        <w:r w:rsidRPr="003765D3">
          <w:rPr>
            <w:rFonts w:ascii="Arial" w:eastAsia="Times New Roman" w:hAnsi="Arial" w:cs="Arial"/>
            <w:b/>
            <w:bCs/>
            <w:color w:val="00905A"/>
            <w:u w:val="single"/>
          </w:rPr>
          <w:t>Grade 2B</w:t>
        </w:r>
      </w:hyperlink>
      <w:r w:rsidRPr="003765D3">
        <w:rPr>
          <w:rFonts w:ascii="Arial" w:eastAsia="Times New Roman" w:hAnsi="Arial" w:cs="Arial"/>
        </w:rPr>
        <w:t>). (See </w:t>
      </w:r>
      <w:hyperlink r:id="rId187" w:anchor="H88767833" w:history="1">
        <w:r w:rsidRPr="003765D3">
          <w:rPr>
            <w:rFonts w:ascii="Arial" w:eastAsia="Times New Roman" w:hAnsi="Arial" w:cs="Arial"/>
            <w:color w:val="00905A"/>
            <w:u w:val="single"/>
          </w:rPr>
          <w:t>'Choice of first-line therapy'</w:t>
        </w:r>
      </w:hyperlink>
      <w:r w:rsidRPr="003765D3">
        <w:rPr>
          <w:rFonts w:ascii="Arial" w:eastAsia="Times New Roman" w:hAnsi="Arial" w:cs="Arial"/>
        </w:rPr>
        <w:t> above.)</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For patients who require surgery, properly-timed glucocorticoids or IVIG can often be used to raise the platelet count; we generally use the agent that has been effective for the patient previously. (See </w:t>
      </w:r>
      <w:hyperlink r:id="rId188" w:anchor="H15659153" w:history="1">
        <w:r w:rsidRPr="003765D3">
          <w:rPr>
            <w:rFonts w:ascii="Arial" w:eastAsia="Times New Roman" w:hAnsi="Arial" w:cs="Arial"/>
            <w:color w:val="00905A"/>
            <w:u w:val="single"/>
          </w:rPr>
          <w:t>'Surgery/invasive procedures'</w:t>
        </w:r>
      </w:hyperlink>
      <w:r w:rsidRPr="003765D3">
        <w:rPr>
          <w:rFonts w:ascii="Arial" w:eastAsia="Times New Roman" w:hAnsi="Arial" w:cs="Arial"/>
        </w:rPr>
        <w:t> above and </w:t>
      </w:r>
      <w:hyperlink r:id="rId189" w:anchor="H558384448" w:history="1">
        <w:r w:rsidRPr="003765D3">
          <w:rPr>
            <w:rFonts w:ascii="Arial" w:eastAsia="Times New Roman" w:hAnsi="Arial" w:cs="Arial"/>
            <w:color w:val="00905A"/>
            <w:u w:val="single"/>
          </w:rPr>
          <w:t>"Clinical and laboratory aspects of platelet transfusion therapy", section on 'Preparation for an invasive procedure'</w:t>
        </w:r>
      </w:hyperlink>
      <w:r w:rsidRPr="003765D3">
        <w:rPr>
          <w:rFonts w:ascii="Arial" w:eastAsia="Times New Roman" w:hAnsi="Arial" w:cs="Arial"/>
        </w:rPr>
        <w:t>.)</w:t>
      </w:r>
    </w:p>
    <w:p w:rsidR="003765D3" w:rsidRPr="003765D3" w:rsidRDefault="003765D3" w:rsidP="003765D3">
      <w:pPr>
        <w:spacing w:before="30" w:after="30" w:line="302" w:lineRule="atLeast"/>
        <w:ind w:left="1200"/>
        <w:rPr>
          <w:rFonts w:ascii="Arial" w:eastAsia="Times New Roman" w:hAnsi="Arial" w:cs="Arial"/>
        </w:rPr>
      </w:pPr>
      <w:r w:rsidRPr="003765D3">
        <w:rPr>
          <w:rFonts w:ascii="Times New Roman" w:eastAsia="Times New Roman" w:hAnsi="Times New Roman" w:cs="Times New Roman"/>
        </w:rPr>
        <w:t>●</w:t>
      </w:r>
      <w:r w:rsidRPr="003765D3">
        <w:rPr>
          <w:rFonts w:ascii="Arial" w:eastAsia="Times New Roman" w:hAnsi="Arial" w:cs="Arial"/>
        </w:rPr>
        <w:t>Second-line and subsequent therapies for ITP and treatment of conditions associated with secondary ITP are discussed separately. (See </w:t>
      </w:r>
      <w:hyperlink r:id="rId190" w:history="1">
        <w:r w:rsidRPr="003765D3">
          <w:rPr>
            <w:rFonts w:ascii="Arial" w:eastAsia="Times New Roman" w:hAnsi="Arial" w:cs="Arial"/>
            <w:color w:val="00905A"/>
            <w:u w:val="single"/>
          </w:rPr>
          <w:t>"Immune thrombocytopenia (ITP) in adults: Second-line and subsequent therapies"</w:t>
        </w:r>
      </w:hyperlink>
      <w:r w:rsidRPr="003765D3">
        <w:rPr>
          <w:rFonts w:ascii="Arial" w:eastAsia="Times New Roman" w:hAnsi="Arial" w:cs="Arial"/>
        </w:rPr>
        <w:t> and </w:t>
      </w:r>
      <w:hyperlink r:id="rId191" w:anchor="H18" w:history="1">
        <w:r w:rsidRPr="003765D3">
          <w:rPr>
            <w:rFonts w:ascii="Arial" w:eastAsia="Times New Roman" w:hAnsi="Arial" w:cs="Arial"/>
            <w:color w:val="00905A"/>
            <w:u w:val="single"/>
          </w:rPr>
          <w:t>"Hematologic manifestations of systemic lupus erythematosus", section on 'Thrombocytopenia'</w:t>
        </w:r>
      </w:hyperlink>
      <w:r w:rsidRPr="003765D3">
        <w:rPr>
          <w:rFonts w:ascii="Arial" w:eastAsia="Times New Roman" w:hAnsi="Arial" w:cs="Arial"/>
        </w:rPr>
        <w:t> and </w:t>
      </w:r>
      <w:hyperlink r:id="rId192" w:anchor="H11" w:history="1">
        <w:r w:rsidRPr="003765D3">
          <w:rPr>
            <w:rFonts w:ascii="Arial" w:eastAsia="Times New Roman" w:hAnsi="Arial" w:cs="Arial"/>
            <w:color w:val="00905A"/>
            <w:u w:val="single"/>
          </w:rPr>
          <w:t>"Extrahepatic manifestations of hepatitis C virus infection", section on 'Immune thrombocytopenia (ITP) and autoimmune hemolytic anemia'</w:t>
        </w:r>
      </w:hyperlink>
      <w:r w:rsidRPr="003765D3">
        <w:rPr>
          <w:rFonts w:ascii="Arial" w:eastAsia="Times New Roman" w:hAnsi="Arial" w:cs="Arial"/>
        </w:rPr>
        <w:t> and </w:t>
      </w:r>
      <w:hyperlink r:id="rId193" w:anchor="H7" w:history="1">
        <w:r w:rsidRPr="003765D3">
          <w:rPr>
            <w:rFonts w:ascii="Arial" w:eastAsia="Times New Roman" w:hAnsi="Arial" w:cs="Arial"/>
            <w:color w:val="00905A"/>
            <w:u w:val="single"/>
          </w:rPr>
          <w:t>"Hematologic manifestations of HIV infection: Thrombocytopenia and coagulation abnormalities", section on 'Treatment of HIV-associated thrombocytopenia'</w:t>
        </w:r>
      </w:hyperlink>
      <w:r w:rsidRPr="003765D3">
        <w:rPr>
          <w:rFonts w:ascii="Arial" w:eastAsia="Times New Roman" w:hAnsi="Arial" w:cs="Arial"/>
        </w:rPr>
        <w:t> and </w:t>
      </w:r>
      <w:hyperlink r:id="rId194" w:anchor="H20" w:history="1">
        <w:r w:rsidRPr="003765D3">
          <w:rPr>
            <w:rFonts w:ascii="Arial" w:eastAsia="Times New Roman" w:hAnsi="Arial" w:cs="Arial"/>
            <w:color w:val="00905A"/>
            <w:u w:val="single"/>
          </w:rPr>
          <w:t>"Overview of the complications of chronic lymphocytic leukemia", section on 'Thrombocytopenia'</w:t>
        </w:r>
      </w:hyperlink>
      <w:r w:rsidRPr="003765D3">
        <w:rPr>
          <w:rFonts w:ascii="Arial" w:eastAsia="Times New Roman" w:hAnsi="Arial" w:cs="Arial"/>
        </w:rPr>
        <w:t> and </w:t>
      </w:r>
      <w:hyperlink r:id="rId195" w:history="1">
        <w:r w:rsidRPr="003765D3">
          <w:rPr>
            <w:rFonts w:ascii="Arial" w:eastAsia="Times New Roman" w:hAnsi="Arial" w:cs="Arial"/>
            <w:color w:val="00905A"/>
            <w:u w:val="single"/>
          </w:rPr>
          <w:t>"Selection of initial therapy for symptomatic or advanced chronic lymphocytic leukemia"</w:t>
        </w:r>
      </w:hyperlink>
      <w:r w:rsidRPr="003765D3">
        <w:rPr>
          <w:rFonts w:ascii="Arial" w:eastAsia="Times New Roman" w:hAnsi="Arial" w:cs="Arial"/>
        </w:rPr>
        <w:t>.)</w:t>
      </w:r>
    </w:p>
    <w:p w:rsidR="003765D3" w:rsidRPr="003765D3" w:rsidRDefault="003765D3" w:rsidP="003765D3">
      <w:pPr>
        <w:spacing w:line="240" w:lineRule="auto"/>
        <w:jc w:val="center"/>
        <w:rPr>
          <w:rFonts w:ascii="Arial" w:eastAsia="Times New Roman" w:hAnsi="Arial" w:cs="Arial"/>
        </w:rPr>
      </w:pPr>
      <w:r w:rsidRPr="003765D3">
        <w:rPr>
          <w:rFonts w:ascii="Arial" w:eastAsia="Times New Roman" w:hAnsi="Arial" w:cs="Arial"/>
        </w:rPr>
        <w:t>Use of UpToDate is subject to the </w:t>
      </w:r>
      <w:hyperlink r:id="rId196" w:history="1">
        <w:r w:rsidRPr="003765D3">
          <w:rPr>
            <w:rFonts w:ascii="Arial" w:eastAsia="Times New Roman" w:hAnsi="Arial" w:cs="Arial"/>
            <w:color w:val="00905A"/>
            <w:u w:val="single"/>
          </w:rPr>
          <w:t>Subscription and License Agreement</w:t>
        </w:r>
      </w:hyperlink>
      <w:r w:rsidRPr="003765D3">
        <w:rPr>
          <w:rFonts w:ascii="Arial" w:eastAsia="Times New Roman" w:hAnsi="Arial" w:cs="Arial"/>
        </w:rPr>
        <w:t>.</w:t>
      </w:r>
    </w:p>
    <w:p w:rsidR="003765D3" w:rsidRPr="003765D3" w:rsidRDefault="003765D3" w:rsidP="003765D3">
      <w:pPr>
        <w:spacing w:after="0" w:line="240" w:lineRule="auto"/>
        <w:jc w:val="center"/>
        <w:outlineLvl w:val="0"/>
        <w:rPr>
          <w:rFonts w:ascii="Arial" w:eastAsia="Times New Roman" w:hAnsi="Arial" w:cs="Arial"/>
          <w:b/>
          <w:bCs/>
          <w:color w:val="000000"/>
          <w:kern w:val="36"/>
        </w:rPr>
      </w:pPr>
      <w:r w:rsidRPr="003765D3">
        <w:rPr>
          <w:rFonts w:ascii="Arial" w:eastAsia="Times New Roman" w:hAnsi="Arial" w:cs="Arial"/>
          <w:b/>
          <w:bCs/>
          <w:color w:val="000000"/>
          <w:kern w:val="36"/>
        </w:rPr>
        <w:t>REFERENCES</w:t>
      </w:r>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197" w:history="1">
        <w:proofErr w:type="spellStart"/>
        <w:r w:rsidRPr="003765D3">
          <w:rPr>
            <w:rFonts w:ascii="Arial" w:eastAsia="Times New Roman" w:hAnsi="Arial" w:cs="Arial"/>
            <w:color w:val="00905A"/>
            <w:u w:val="single"/>
          </w:rPr>
          <w:t>Rodeghiero</w:t>
        </w:r>
        <w:proofErr w:type="spellEnd"/>
        <w:r w:rsidRPr="003765D3">
          <w:rPr>
            <w:rFonts w:ascii="Arial" w:eastAsia="Times New Roman" w:hAnsi="Arial" w:cs="Arial"/>
            <w:color w:val="00905A"/>
            <w:u w:val="single"/>
          </w:rPr>
          <w:t xml:space="preserve"> F, Stasi R, </w:t>
        </w:r>
        <w:proofErr w:type="spellStart"/>
        <w:r w:rsidRPr="003765D3">
          <w:rPr>
            <w:rFonts w:ascii="Arial" w:eastAsia="Times New Roman" w:hAnsi="Arial" w:cs="Arial"/>
            <w:color w:val="00905A"/>
            <w:u w:val="single"/>
          </w:rPr>
          <w:t>Gernsheimer</w:t>
        </w:r>
        <w:proofErr w:type="spellEnd"/>
        <w:r w:rsidRPr="003765D3">
          <w:rPr>
            <w:rFonts w:ascii="Arial" w:eastAsia="Times New Roman" w:hAnsi="Arial" w:cs="Arial"/>
            <w:color w:val="00905A"/>
            <w:u w:val="single"/>
          </w:rPr>
          <w:t xml:space="preserve"> T, et al. Standardization of terminology, definitions and outcome criteria in immune thrombocytopenic purpura of adults and children: report from an international working group. Blood 2009; 113:2386.</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198" w:history="1">
        <w:proofErr w:type="spellStart"/>
        <w:r w:rsidRPr="003765D3">
          <w:rPr>
            <w:rFonts w:ascii="Arial" w:eastAsia="Times New Roman" w:hAnsi="Arial" w:cs="Arial"/>
            <w:color w:val="00905A"/>
            <w:u w:val="single"/>
          </w:rPr>
          <w:t>Ghanima</w:t>
        </w:r>
        <w:proofErr w:type="spellEnd"/>
        <w:r w:rsidRPr="003765D3">
          <w:rPr>
            <w:rFonts w:ascii="Arial" w:eastAsia="Times New Roman" w:hAnsi="Arial" w:cs="Arial"/>
            <w:color w:val="00905A"/>
            <w:u w:val="single"/>
          </w:rPr>
          <w:t xml:space="preserve"> W, </w:t>
        </w:r>
        <w:proofErr w:type="spellStart"/>
        <w:r w:rsidRPr="003765D3">
          <w:rPr>
            <w:rFonts w:ascii="Arial" w:eastAsia="Times New Roman" w:hAnsi="Arial" w:cs="Arial"/>
            <w:color w:val="00905A"/>
            <w:u w:val="single"/>
          </w:rPr>
          <w:t>Godeau</w:t>
        </w:r>
        <w:proofErr w:type="spellEnd"/>
        <w:r w:rsidRPr="003765D3">
          <w:rPr>
            <w:rFonts w:ascii="Arial" w:eastAsia="Times New Roman" w:hAnsi="Arial" w:cs="Arial"/>
            <w:color w:val="00905A"/>
            <w:u w:val="single"/>
          </w:rPr>
          <w:t xml:space="preserve"> B, Cines DB, </w:t>
        </w:r>
        <w:proofErr w:type="spellStart"/>
        <w:r w:rsidRPr="003765D3">
          <w:rPr>
            <w:rFonts w:ascii="Arial" w:eastAsia="Times New Roman" w:hAnsi="Arial" w:cs="Arial"/>
            <w:color w:val="00905A"/>
            <w:u w:val="single"/>
          </w:rPr>
          <w:t>Bussel</w:t>
        </w:r>
        <w:proofErr w:type="spellEnd"/>
        <w:r w:rsidRPr="003765D3">
          <w:rPr>
            <w:rFonts w:ascii="Arial" w:eastAsia="Times New Roman" w:hAnsi="Arial" w:cs="Arial"/>
            <w:color w:val="00905A"/>
            <w:u w:val="single"/>
          </w:rPr>
          <w:t xml:space="preserve"> JB. How I treat immune thrombocytopenia: the choice between splenectomy </w:t>
        </w:r>
        <w:proofErr w:type="gramStart"/>
        <w:r w:rsidRPr="003765D3">
          <w:rPr>
            <w:rFonts w:ascii="Arial" w:eastAsia="Times New Roman" w:hAnsi="Arial" w:cs="Arial"/>
            <w:color w:val="00905A"/>
            <w:u w:val="single"/>
          </w:rPr>
          <w:t>or</w:t>
        </w:r>
        <w:proofErr w:type="gramEnd"/>
        <w:r w:rsidRPr="003765D3">
          <w:rPr>
            <w:rFonts w:ascii="Arial" w:eastAsia="Times New Roman" w:hAnsi="Arial" w:cs="Arial"/>
            <w:color w:val="00905A"/>
            <w:u w:val="single"/>
          </w:rPr>
          <w:t xml:space="preserve"> a medical therapy as a second-line treatment. Blood 2012; 120:960.</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199" w:history="1">
        <w:r w:rsidRPr="003765D3">
          <w:rPr>
            <w:rFonts w:ascii="Arial" w:eastAsia="Times New Roman" w:hAnsi="Arial" w:cs="Arial"/>
            <w:color w:val="00905A"/>
            <w:u w:val="single"/>
          </w:rPr>
          <w:t xml:space="preserve">George JN, Woolf SH, </w:t>
        </w:r>
        <w:proofErr w:type="spellStart"/>
        <w:r w:rsidRPr="003765D3">
          <w:rPr>
            <w:rFonts w:ascii="Arial" w:eastAsia="Times New Roman" w:hAnsi="Arial" w:cs="Arial"/>
            <w:color w:val="00905A"/>
            <w:u w:val="single"/>
          </w:rPr>
          <w:t>Raskob</w:t>
        </w:r>
        <w:proofErr w:type="spellEnd"/>
        <w:r w:rsidRPr="003765D3">
          <w:rPr>
            <w:rFonts w:ascii="Arial" w:eastAsia="Times New Roman" w:hAnsi="Arial" w:cs="Arial"/>
            <w:color w:val="00905A"/>
            <w:u w:val="single"/>
          </w:rPr>
          <w:t xml:space="preserve"> GE, et al. Idiopathic thrombocytopenic purpura: a practice guideline developed by explicit methods for the American Society of Hematology. Blood 1996; 88:3.</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00" w:history="1">
        <w:proofErr w:type="spellStart"/>
        <w:r w:rsidRPr="003765D3">
          <w:rPr>
            <w:rFonts w:ascii="Arial" w:eastAsia="Times New Roman" w:hAnsi="Arial" w:cs="Arial"/>
            <w:color w:val="00905A"/>
            <w:u w:val="single"/>
          </w:rPr>
          <w:t>Toltl</w:t>
        </w:r>
        <w:proofErr w:type="spellEnd"/>
        <w:r w:rsidRPr="003765D3">
          <w:rPr>
            <w:rFonts w:ascii="Arial" w:eastAsia="Times New Roman" w:hAnsi="Arial" w:cs="Arial"/>
            <w:color w:val="00905A"/>
            <w:u w:val="single"/>
          </w:rPr>
          <w:t xml:space="preserve"> LJ, Arnold DM. Pathophysiology and management of chronic immune thrombocytopenia: focusing on what matters. Br J </w:t>
        </w:r>
        <w:proofErr w:type="spellStart"/>
        <w:r w:rsidRPr="003765D3">
          <w:rPr>
            <w:rFonts w:ascii="Arial" w:eastAsia="Times New Roman" w:hAnsi="Arial" w:cs="Arial"/>
            <w:color w:val="00905A"/>
            <w:u w:val="single"/>
          </w:rPr>
          <w:t>Haematol</w:t>
        </w:r>
        <w:proofErr w:type="spellEnd"/>
        <w:r w:rsidRPr="003765D3">
          <w:rPr>
            <w:rFonts w:ascii="Arial" w:eastAsia="Times New Roman" w:hAnsi="Arial" w:cs="Arial"/>
            <w:color w:val="00905A"/>
            <w:u w:val="single"/>
          </w:rPr>
          <w:t xml:space="preserve"> 2011; 152:52.</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01" w:history="1">
        <w:proofErr w:type="spellStart"/>
        <w:r w:rsidRPr="003765D3">
          <w:rPr>
            <w:rFonts w:ascii="Arial" w:eastAsia="Times New Roman" w:hAnsi="Arial" w:cs="Arial"/>
            <w:color w:val="00905A"/>
            <w:u w:val="single"/>
          </w:rPr>
          <w:t>Cortelazzo</w:t>
        </w:r>
        <w:proofErr w:type="spellEnd"/>
        <w:r w:rsidRPr="003765D3">
          <w:rPr>
            <w:rFonts w:ascii="Arial" w:eastAsia="Times New Roman" w:hAnsi="Arial" w:cs="Arial"/>
            <w:color w:val="00905A"/>
            <w:u w:val="single"/>
          </w:rPr>
          <w:t xml:space="preserve"> S, </w:t>
        </w:r>
        <w:proofErr w:type="spellStart"/>
        <w:r w:rsidRPr="003765D3">
          <w:rPr>
            <w:rFonts w:ascii="Arial" w:eastAsia="Times New Roman" w:hAnsi="Arial" w:cs="Arial"/>
            <w:color w:val="00905A"/>
            <w:u w:val="single"/>
          </w:rPr>
          <w:t>Finazzi</w:t>
        </w:r>
        <w:proofErr w:type="spellEnd"/>
        <w:r w:rsidRPr="003765D3">
          <w:rPr>
            <w:rFonts w:ascii="Arial" w:eastAsia="Times New Roman" w:hAnsi="Arial" w:cs="Arial"/>
            <w:color w:val="00905A"/>
            <w:u w:val="single"/>
          </w:rPr>
          <w:t xml:space="preserve"> G, </w:t>
        </w:r>
        <w:proofErr w:type="spellStart"/>
        <w:r w:rsidRPr="003765D3">
          <w:rPr>
            <w:rFonts w:ascii="Arial" w:eastAsia="Times New Roman" w:hAnsi="Arial" w:cs="Arial"/>
            <w:color w:val="00905A"/>
            <w:u w:val="single"/>
          </w:rPr>
          <w:t>Buelli</w:t>
        </w:r>
        <w:proofErr w:type="spellEnd"/>
        <w:r w:rsidRPr="003765D3">
          <w:rPr>
            <w:rFonts w:ascii="Arial" w:eastAsia="Times New Roman" w:hAnsi="Arial" w:cs="Arial"/>
            <w:color w:val="00905A"/>
            <w:u w:val="single"/>
          </w:rPr>
          <w:t xml:space="preserve"> M, et al. High risk of severe bleeding in aged patients with chronic idiopathic thrombocytopenic purpura. Blood 1991; 77:31.</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02" w:history="1">
        <w:r w:rsidRPr="003765D3">
          <w:rPr>
            <w:rFonts w:ascii="Arial" w:eastAsia="Times New Roman" w:hAnsi="Arial" w:cs="Arial"/>
            <w:color w:val="00905A"/>
            <w:u w:val="single"/>
          </w:rPr>
          <w:t xml:space="preserve">Cines DB, </w:t>
        </w:r>
        <w:proofErr w:type="spellStart"/>
        <w:r w:rsidRPr="003765D3">
          <w:rPr>
            <w:rFonts w:ascii="Arial" w:eastAsia="Times New Roman" w:hAnsi="Arial" w:cs="Arial"/>
            <w:color w:val="00905A"/>
            <w:u w:val="single"/>
          </w:rPr>
          <w:t>Bussel</w:t>
        </w:r>
        <w:proofErr w:type="spellEnd"/>
        <w:r w:rsidRPr="003765D3">
          <w:rPr>
            <w:rFonts w:ascii="Arial" w:eastAsia="Times New Roman" w:hAnsi="Arial" w:cs="Arial"/>
            <w:color w:val="00905A"/>
            <w:u w:val="single"/>
          </w:rPr>
          <w:t xml:space="preserve"> JB. How I treat idiopathic thrombocytopenic purpura (ITP). Blood 2005; 106:2244.</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03" w:history="1">
        <w:r w:rsidRPr="003765D3">
          <w:rPr>
            <w:rFonts w:ascii="Arial" w:eastAsia="Times New Roman" w:hAnsi="Arial" w:cs="Arial"/>
            <w:color w:val="00905A"/>
            <w:u w:val="single"/>
          </w:rPr>
          <w:t xml:space="preserve">Guthrie TH Jr, Brannan DP, </w:t>
        </w:r>
        <w:proofErr w:type="spellStart"/>
        <w:r w:rsidRPr="003765D3">
          <w:rPr>
            <w:rFonts w:ascii="Arial" w:eastAsia="Times New Roman" w:hAnsi="Arial" w:cs="Arial"/>
            <w:color w:val="00905A"/>
            <w:u w:val="single"/>
          </w:rPr>
          <w:t>Prisant</w:t>
        </w:r>
        <w:proofErr w:type="spellEnd"/>
        <w:r w:rsidRPr="003765D3">
          <w:rPr>
            <w:rFonts w:ascii="Arial" w:eastAsia="Times New Roman" w:hAnsi="Arial" w:cs="Arial"/>
            <w:color w:val="00905A"/>
            <w:u w:val="single"/>
          </w:rPr>
          <w:t xml:space="preserve"> LM. Idiopathic thrombocytopenic purpura in the older adult patient. Am J Med </w:t>
        </w:r>
        <w:proofErr w:type="spellStart"/>
        <w:r w:rsidRPr="003765D3">
          <w:rPr>
            <w:rFonts w:ascii="Arial" w:eastAsia="Times New Roman" w:hAnsi="Arial" w:cs="Arial"/>
            <w:color w:val="00905A"/>
            <w:u w:val="single"/>
          </w:rPr>
          <w:t>Sci</w:t>
        </w:r>
        <w:proofErr w:type="spellEnd"/>
        <w:r w:rsidRPr="003765D3">
          <w:rPr>
            <w:rFonts w:ascii="Arial" w:eastAsia="Times New Roman" w:hAnsi="Arial" w:cs="Arial"/>
            <w:color w:val="00905A"/>
            <w:u w:val="single"/>
          </w:rPr>
          <w:t xml:space="preserve"> 1988; </w:t>
        </w:r>
        <w:proofErr w:type="gramStart"/>
        <w:r w:rsidRPr="003765D3">
          <w:rPr>
            <w:rFonts w:ascii="Arial" w:eastAsia="Times New Roman" w:hAnsi="Arial" w:cs="Arial"/>
            <w:color w:val="00905A"/>
            <w:u w:val="single"/>
          </w:rPr>
          <w:t>296:17.</w:t>
        </w:r>
        <w:proofErr w:type="gramEnd"/>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04" w:history="1">
        <w:r w:rsidRPr="003765D3">
          <w:rPr>
            <w:rFonts w:ascii="Arial" w:eastAsia="Times New Roman" w:hAnsi="Arial" w:cs="Arial"/>
            <w:color w:val="00905A"/>
            <w:u w:val="single"/>
          </w:rPr>
          <w:t xml:space="preserve">Stasi R, </w:t>
        </w:r>
        <w:proofErr w:type="spellStart"/>
        <w:r w:rsidRPr="003765D3">
          <w:rPr>
            <w:rFonts w:ascii="Arial" w:eastAsia="Times New Roman" w:hAnsi="Arial" w:cs="Arial"/>
            <w:color w:val="00905A"/>
            <w:u w:val="single"/>
          </w:rPr>
          <w:t>Stipa</w:t>
        </w:r>
        <w:proofErr w:type="spellEnd"/>
        <w:r w:rsidRPr="003765D3">
          <w:rPr>
            <w:rFonts w:ascii="Arial" w:eastAsia="Times New Roman" w:hAnsi="Arial" w:cs="Arial"/>
            <w:color w:val="00905A"/>
            <w:u w:val="single"/>
          </w:rPr>
          <w:t xml:space="preserve"> E, </w:t>
        </w:r>
        <w:proofErr w:type="spellStart"/>
        <w:r w:rsidRPr="003765D3">
          <w:rPr>
            <w:rFonts w:ascii="Arial" w:eastAsia="Times New Roman" w:hAnsi="Arial" w:cs="Arial"/>
            <w:color w:val="00905A"/>
            <w:u w:val="single"/>
          </w:rPr>
          <w:t>Masi</w:t>
        </w:r>
        <w:proofErr w:type="spellEnd"/>
        <w:r w:rsidRPr="003765D3">
          <w:rPr>
            <w:rFonts w:ascii="Arial" w:eastAsia="Times New Roman" w:hAnsi="Arial" w:cs="Arial"/>
            <w:color w:val="00905A"/>
            <w:u w:val="single"/>
          </w:rPr>
          <w:t xml:space="preserve"> M, et al. Long-term observation of 208 adults with chronic idiopathic thrombocytopenic purpura. Am J Med 1995; 98:436.</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05" w:history="1">
        <w:proofErr w:type="spellStart"/>
        <w:r w:rsidRPr="003765D3">
          <w:rPr>
            <w:rFonts w:ascii="Arial" w:eastAsia="Times New Roman" w:hAnsi="Arial" w:cs="Arial"/>
            <w:color w:val="00905A"/>
            <w:u w:val="single"/>
          </w:rPr>
          <w:t>Portielje</w:t>
        </w:r>
        <w:proofErr w:type="spellEnd"/>
        <w:r w:rsidRPr="003765D3">
          <w:rPr>
            <w:rFonts w:ascii="Arial" w:eastAsia="Times New Roman" w:hAnsi="Arial" w:cs="Arial"/>
            <w:color w:val="00905A"/>
            <w:u w:val="single"/>
          </w:rPr>
          <w:t xml:space="preserve"> JE, </w:t>
        </w:r>
        <w:proofErr w:type="spellStart"/>
        <w:r w:rsidRPr="003765D3">
          <w:rPr>
            <w:rFonts w:ascii="Arial" w:eastAsia="Times New Roman" w:hAnsi="Arial" w:cs="Arial"/>
            <w:color w:val="00905A"/>
            <w:u w:val="single"/>
          </w:rPr>
          <w:t>Westendorp</w:t>
        </w:r>
        <w:proofErr w:type="spellEnd"/>
        <w:r w:rsidRPr="003765D3">
          <w:rPr>
            <w:rFonts w:ascii="Arial" w:eastAsia="Times New Roman" w:hAnsi="Arial" w:cs="Arial"/>
            <w:color w:val="00905A"/>
            <w:u w:val="single"/>
          </w:rPr>
          <w:t xml:space="preserve"> RG, </w:t>
        </w:r>
        <w:proofErr w:type="spellStart"/>
        <w:r w:rsidRPr="003765D3">
          <w:rPr>
            <w:rFonts w:ascii="Arial" w:eastAsia="Times New Roman" w:hAnsi="Arial" w:cs="Arial"/>
            <w:color w:val="00905A"/>
            <w:u w:val="single"/>
          </w:rPr>
          <w:t>Kluin-Nelemans</w:t>
        </w:r>
        <w:proofErr w:type="spellEnd"/>
        <w:r w:rsidRPr="003765D3">
          <w:rPr>
            <w:rFonts w:ascii="Arial" w:eastAsia="Times New Roman" w:hAnsi="Arial" w:cs="Arial"/>
            <w:color w:val="00905A"/>
            <w:u w:val="single"/>
          </w:rPr>
          <w:t xml:space="preserve"> HC, Brand A. Morbidity and mortality in adults with idiopathic thrombocytopenic purpura. Blood 2001; 97:2549.</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06" w:history="1">
        <w:proofErr w:type="spellStart"/>
        <w:r w:rsidRPr="003765D3">
          <w:rPr>
            <w:rFonts w:ascii="Arial" w:eastAsia="Times New Roman" w:hAnsi="Arial" w:cs="Arial"/>
            <w:color w:val="00905A"/>
            <w:u w:val="single"/>
          </w:rPr>
          <w:t>Neylon</w:t>
        </w:r>
        <w:proofErr w:type="spellEnd"/>
        <w:r w:rsidRPr="003765D3">
          <w:rPr>
            <w:rFonts w:ascii="Arial" w:eastAsia="Times New Roman" w:hAnsi="Arial" w:cs="Arial"/>
            <w:color w:val="00905A"/>
            <w:u w:val="single"/>
          </w:rPr>
          <w:t xml:space="preserve"> AJ, Saunders PW, Howard MR, et al. Clinically significant newly presenting autoimmune thrombocytopenic purpura in adults: a prospective study of a population-based cohort of 245 patients. Br J </w:t>
        </w:r>
        <w:proofErr w:type="spellStart"/>
        <w:r w:rsidRPr="003765D3">
          <w:rPr>
            <w:rFonts w:ascii="Arial" w:eastAsia="Times New Roman" w:hAnsi="Arial" w:cs="Arial"/>
            <w:color w:val="00905A"/>
            <w:u w:val="single"/>
          </w:rPr>
          <w:t>Haematol</w:t>
        </w:r>
        <w:proofErr w:type="spellEnd"/>
        <w:r w:rsidRPr="003765D3">
          <w:rPr>
            <w:rFonts w:ascii="Arial" w:eastAsia="Times New Roman" w:hAnsi="Arial" w:cs="Arial"/>
            <w:color w:val="00905A"/>
            <w:u w:val="single"/>
          </w:rPr>
          <w:t xml:space="preserve"> 2003; 122:966.</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07" w:history="1">
        <w:r w:rsidRPr="003765D3">
          <w:rPr>
            <w:rFonts w:ascii="Arial" w:eastAsia="Times New Roman" w:hAnsi="Arial" w:cs="Arial"/>
            <w:color w:val="00905A"/>
            <w:u w:val="single"/>
          </w:rPr>
          <w:t xml:space="preserve">British Committee for Standards in </w:t>
        </w:r>
        <w:proofErr w:type="spellStart"/>
        <w:r w:rsidRPr="003765D3">
          <w:rPr>
            <w:rFonts w:ascii="Arial" w:eastAsia="Times New Roman" w:hAnsi="Arial" w:cs="Arial"/>
            <w:color w:val="00905A"/>
            <w:u w:val="single"/>
          </w:rPr>
          <w:t>Haematology</w:t>
        </w:r>
        <w:proofErr w:type="spellEnd"/>
        <w:r w:rsidRPr="003765D3">
          <w:rPr>
            <w:rFonts w:ascii="Arial" w:eastAsia="Times New Roman" w:hAnsi="Arial" w:cs="Arial"/>
            <w:color w:val="00905A"/>
            <w:u w:val="single"/>
          </w:rPr>
          <w:t xml:space="preserve"> General </w:t>
        </w:r>
        <w:proofErr w:type="spellStart"/>
        <w:r w:rsidRPr="003765D3">
          <w:rPr>
            <w:rFonts w:ascii="Arial" w:eastAsia="Times New Roman" w:hAnsi="Arial" w:cs="Arial"/>
            <w:color w:val="00905A"/>
            <w:u w:val="single"/>
          </w:rPr>
          <w:t>Haematology</w:t>
        </w:r>
        <w:proofErr w:type="spellEnd"/>
        <w:r w:rsidRPr="003765D3">
          <w:rPr>
            <w:rFonts w:ascii="Arial" w:eastAsia="Times New Roman" w:hAnsi="Arial" w:cs="Arial"/>
            <w:color w:val="00905A"/>
            <w:u w:val="single"/>
          </w:rPr>
          <w:t xml:space="preserve"> Task Force. Guidelines for the investigation and management of idiopathic thrombocytopenic purpura in adults, children and in pregnancy. Br J </w:t>
        </w:r>
        <w:proofErr w:type="spellStart"/>
        <w:r w:rsidRPr="003765D3">
          <w:rPr>
            <w:rFonts w:ascii="Arial" w:eastAsia="Times New Roman" w:hAnsi="Arial" w:cs="Arial"/>
            <w:color w:val="00905A"/>
            <w:u w:val="single"/>
          </w:rPr>
          <w:t>Haematol</w:t>
        </w:r>
        <w:proofErr w:type="spellEnd"/>
        <w:r w:rsidRPr="003765D3">
          <w:rPr>
            <w:rFonts w:ascii="Arial" w:eastAsia="Times New Roman" w:hAnsi="Arial" w:cs="Arial"/>
            <w:color w:val="00905A"/>
            <w:u w:val="single"/>
          </w:rPr>
          <w:t xml:space="preserve"> 2003; 120:574.</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08" w:history="1">
        <w:proofErr w:type="spellStart"/>
        <w:r w:rsidRPr="003765D3">
          <w:rPr>
            <w:rFonts w:ascii="Arial" w:eastAsia="Times New Roman" w:hAnsi="Arial" w:cs="Arial"/>
            <w:color w:val="00905A"/>
            <w:u w:val="single"/>
          </w:rPr>
          <w:t>Provan</w:t>
        </w:r>
        <w:proofErr w:type="spellEnd"/>
        <w:r w:rsidRPr="003765D3">
          <w:rPr>
            <w:rFonts w:ascii="Arial" w:eastAsia="Times New Roman" w:hAnsi="Arial" w:cs="Arial"/>
            <w:color w:val="00905A"/>
            <w:u w:val="single"/>
          </w:rPr>
          <w:t xml:space="preserve"> D, Stasi R, Newland AC, et al. International consensus report on the investigation and management of primary immune thrombocytopenia. Blood 2010; 115:168.</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09" w:history="1">
        <w:proofErr w:type="spellStart"/>
        <w:r w:rsidRPr="003765D3">
          <w:rPr>
            <w:rFonts w:ascii="Arial" w:eastAsia="Times New Roman" w:hAnsi="Arial" w:cs="Arial"/>
            <w:color w:val="00905A"/>
            <w:u w:val="single"/>
          </w:rPr>
          <w:t>Neunert</w:t>
        </w:r>
        <w:proofErr w:type="spellEnd"/>
        <w:r w:rsidRPr="003765D3">
          <w:rPr>
            <w:rFonts w:ascii="Arial" w:eastAsia="Times New Roman" w:hAnsi="Arial" w:cs="Arial"/>
            <w:color w:val="00905A"/>
            <w:u w:val="single"/>
          </w:rPr>
          <w:t xml:space="preserve"> C, Lim W, Crowther M, et al. The American Society of Hematology 2011 evidence-based practice guideline for immune thrombocytopenia. Blood 2011; 117:4190.</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10" w:history="1">
        <w:proofErr w:type="spellStart"/>
        <w:r w:rsidRPr="003765D3">
          <w:rPr>
            <w:rFonts w:ascii="Arial" w:eastAsia="Times New Roman" w:hAnsi="Arial" w:cs="Arial"/>
            <w:color w:val="00905A"/>
            <w:u w:val="single"/>
          </w:rPr>
          <w:t>Kojouri</w:t>
        </w:r>
        <w:proofErr w:type="spellEnd"/>
        <w:r w:rsidRPr="003765D3">
          <w:rPr>
            <w:rFonts w:ascii="Arial" w:eastAsia="Times New Roman" w:hAnsi="Arial" w:cs="Arial"/>
            <w:color w:val="00905A"/>
            <w:u w:val="single"/>
          </w:rPr>
          <w:t xml:space="preserve"> K, Perdue JJ, Medina PJ, George JN. Occult quinine-induced thrombocytopenia. J </w:t>
        </w:r>
        <w:proofErr w:type="spellStart"/>
        <w:r w:rsidRPr="003765D3">
          <w:rPr>
            <w:rFonts w:ascii="Arial" w:eastAsia="Times New Roman" w:hAnsi="Arial" w:cs="Arial"/>
            <w:color w:val="00905A"/>
            <w:u w:val="single"/>
          </w:rPr>
          <w:t>Okla</w:t>
        </w:r>
        <w:proofErr w:type="spellEnd"/>
        <w:r w:rsidRPr="003765D3">
          <w:rPr>
            <w:rFonts w:ascii="Arial" w:eastAsia="Times New Roman" w:hAnsi="Arial" w:cs="Arial"/>
            <w:color w:val="00905A"/>
            <w:u w:val="single"/>
          </w:rPr>
          <w:t xml:space="preserve"> State Med </w:t>
        </w:r>
        <w:proofErr w:type="spellStart"/>
        <w:r w:rsidRPr="003765D3">
          <w:rPr>
            <w:rFonts w:ascii="Arial" w:eastAsia="Times New Roman" w:hAnsi="Arial" w:cs="Arial"/>
            <w:color w:val="00905A"/>
            <w:u w:val="single"/>
          </w:rPr>
          <w:t>Assoc</w:t>
        </w:r>
        <w:proofErr w:type="spellEnd"/>
        <w:r w:rsidRPr="003765D3">
          <w:rPr>
            <w:rFonts w:ascii="Arial" w:eastAsia="Times New Roman" w:hAnsi="Arial" w:cs="Arial"/>
            <w:color w:val="00905A"/>
            <w:u w:val="single"/>
          </w:rPr>
          <w:t xml:space="preserve"> 2000; 93:519.</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11" w:history="1">
        <w:r w:rsidRPr="003765D3">
          <w:rPr>
            <w:rFonts w:ascii="Arial" w:eastAsia="Times New Roman" w:hAnsi="Arial" w:cs="Arial"/>
            <w:color w:val="00905A"/>
            <w:u w:val="single"/>
          </w:rPr>
          <w:t xml:space="preserve">George JN. Management of patients with refractory immune thrombocytopenic purpura. J </w:t>
        </w:r>
        <w:proofErr w:type="spellStart"/>
        <w:r w:rsidRPr="003765D3">
          <w:rPr>
            <w:rFonts w:ascii="Arial" w:eastAsia="Times New Roman" w:hAnsi="Arial" w:cs="Arial"/>
            <w:color w:val="00905A"/>
            <w:u w:val="single"/>
          </w:rPr>
          <w:t>Thromb</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Haemost</w:t>
        </w:r>
        <w:proofErr w:type="spellEnd"/>
        <w:r w:rsidRPr="003765D3">
          <w:rPr>
            <w:rFonts w:ascii="Arial" w:eastAsia="Times New Roman" w:hAnsi="Arial" w:cs="Arial"/>
            <w:color w:val="00905A"/>
            <w:u w:val="single"/>
          </w:rPr>
          <w:t xml:space="preserve"> 2006; 4:1664.</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12" w:history="1">
        <w:proofErr w:type="spellStart"/>
        <w:r w:rsidRPr="003765D3">
          <w:rPr>
            <w:rFonts w:ascii="Arial" w:eastAsia="Times New Roman" w:hAnsi="Arial" w:cs="Arial"/>
            <w:color w:val="00905A"/>
            <w:u w:val="single"/>
          </w:rPr>
          <w:t>Neunert</w:t>
        </w:r>
        <w:proofErr w:type="spellEnd"/>
        <w:r w:rsidRPr="003765D3">
          <w:rPr>
            <w:rFonts w:ascii="Arial" w:eastAsia="Times New Roman" w:hAnsi="Arial" w:cs="Arial"/>
            <w:color w:val="00905A"/>
            <w:u w:val="single"/>
          </w:rPr>
          <w:t xml:space="preserve"> CE, Buchanan GR, </w:t>
        </w:r>
        <w:proofErr w:type="spellStart"/>
        <w:r w:rsidRPr="003765D3">
          <w:rPr>
            <w:rFonts w:ascii="Arial" w:eastAsia="Times New Roman" w:hAnsi="Arial" w:cs="Arial"/>
            <w:color w:val="00905A"/>
            <w:u w:val="single"/>
          </w:rPr>
          <w:t>Imbach</w:t>
        </w:r>
        <w:proofErr w:type="spellEnd"/>
        <w:r w:rsidRPr="003765D3">
          <w:rPr>
            <w:rFonts w:ascii="Arial" w:eastAsia="Times New Roman" w:hAnsi="Arial" w:cs="Arial"/>
            <w:color w:val="00905A"/>
            <w:u w:val="single"/>
          </w:rPr>
          <w:t xml:space="preserve"> P, et al. Severe hemorrhage in children with newly </w:t>
        </w:r>
        <w:proofErr w:type="gramStart"/>
        <w:r w:rsidRPr="003765D3">
          <w:rPr>
            <w:rFonts w:ascii="Arial" w:eastAsia="Times New Roman" w:hAnsi="Arial" w:cs="Arial"/>
            <w:color w:val="00905A"/>
            <w:u w:val="single"/>
          </w:rPr>
          <w:t>diagnosed</w:t>
        </w:r>
        <w:proofErr w:type="gramEnd"/>
        <w:r w:rsidRPr="003765D3">
          <w:rPr>
            <w:rFonts w:ascii="Arial" w:eastAsia="Times New Roman" w:hAnsi="Arial" w:cs="Arial"/>
            <w:color w:val="00905A"/>
            <w:u w:val="single"/>
          </w:rPr>
          <w:t xml:space="preserve"> immune thrombocytopenic purpura. Blood 2008; 112:4003.</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13" w:history="1">
        <w:proofErr w:type="spellStart"/>
        <w:r w:rsidRPr="003765D3">
          <w:rPr>
            <w:rFonts w:ascii="Arial" w:eastAsia="Times New Roman" w:hAnsi="Arial" w:cs="Arial"/>
            <w:color w:val="00905A"/>
            <w:u w:val="single"/>
          </w:rPr>
          <w:t>Psaila</w:t>
        </w:r>
        <w:proofErr w:type="spellEnd"/>
        <w:r w:rsidRPr="003765D3">
          <w:rPr>
            <w:rFonts w:ascii="Arial" w:eastAsia="Times New Roman" w:hAnsi="Arial" w:cs="Arial"/>
            <w:color w:val="00905A"/>
            <w:u w:val="single"/>
          </w:rPr>
          <w:t xml:space="preserve"> B, </w:t>
        </w:r>
        <w:proofErr w:type="spellStart"/>
        <w:r w:rsidRPr="003765D3">
          <w:rPr>
            <w:rFonts w:ascii="Arial" w:eastAsia="Times New Roman" w:hAnsi="Arial" w:cs="Arial"/>
            <w:color w:val="00905A"/>
            <w:u w:val="single"/>
          </w:rPr>
          <w:t>Petrovic</w:t>
        </w:r>
        <w:proofErr w:type="spellEnd"/>
        <w:r w:rsidRPr="003765D3">
          <w:rPr>
            <w:rFonts w:ascii="Arial" w:eastAsia="Times New Roman" w:hAnsi="Arial" w:cs="Arial"/>
            <w:color w:val="00905A"/>
            <w:u w:val="single"/>
          </w:rPr>
          <w:t xml:space="preserve"> A, Page LK, et al. Intracranial hemorrhage (ICH) in children with immune thrombocytopenia (ITP): study of 40 cases. Blood 2009; 114:4777.</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14" w:history="1">
        <w:proofErr w:type="spellStart"/>
        <w:r w:rsidRPr="003765D3">
          <w:rPr>
            <w:rFonts w:ascii="Arial" w:eastAsia="Times New Roman" w:hAnsi="Arial" w:cs="Arial"/>
            <w:color w:val="00905A"/>
            <w:u w:val="single"/>
          </w:rPr>
          <w:t>Goel</w:t>
        </w:r>
        <w:proofErr w:type="spellEnd"/>
        <w:r w:rsidRPr="003765D3">
          <w:rPr>
            <w:rFonts w:ascii="Arial" w:eastAsia="Times New Roman" w:hAnsi="Arial" w:cs="Arial"/>
            <w:color w:val="00905A"/>
            <w:u w:val="single"/>
          </w:rPr>
          <w:t xml:space="preserve"> R, Ness PM, Takemoto CM, et al. Platelet transfusions in platelet consumptive disorders are associated with arterial thrombosis and in-hospital mortality. Blood 2015; 125:1470.</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15" w:history="1">
        <w:proofErr w:type="spellStart"/>
        <w:r w:rsidRPr="003765D3">
          <w:rPr>
            <w:rFonts w:ascii="Arial" w:eastAsia="Times New Roman" w:hAnsi="Arial" w:cs="Arial"/>
            <w:color w:val="00905A"/>
            <w:u w:val="single"/>
          </w:rPr>
          <w:t>Neunert</w:t>
        </w:r>
        <w:proofErr w:type="spellEnd"/>
        <w:r w:rsidRPr="003765D3">
          <w:rPr>
            <w:rFonts w:ascii="Arial" w:eastAsia="Times New Roman" w:hAnsi="Arial" w:cs="Arial"/>
            <w:color w:val="00905A"/>
            <w:u w:val="single"/>
          </w:rPr>
          <w:t xml:space="preserve"> C, </w:t>
        </w:r>
        <w:proofErr w:type="spellStart"/>
        <w:r w:rsidRPr="003765D3">
          <w:rPr>
            <w:rFonts w:ascii="Arial" w:eastAsia="Times New Roman" w:hAnsi="Arial" w:cs="Arial"/>
            <w:color w:val="00905A"/>
            <w:u w:val="single"/>
          </w:rPr>
          <w:t>Noroozi</w:t>
        </w:r>
        <w:proofErr w:type="spellEnd"/>
        <w:r w:rsidRPr="003765D3">
          <w:rPr>
            <w:rFonts w:ascii="Arial" w:eastAsia="Times New Roman" w:hAnsi="Arial" w:cs="Arial"/>
            <w:color w:val="00905A"/>
            <w:u w:val="single"/>
          </w:rPr>
          <w:t xml:space="preserve"> N, Norman G, et al. Severe bleeding events in adults and children with primary immune thrombocytopenia: a systematic review. J </w:t>
        </w:r>
        <w:proofErr w:type="spellStart"/>
        <w:r w:rsidRPr="003765D3">
          <w:rPr>
            <w:rFonts w:ascii="Arial" w:eastAsia="Times New Roman" w:hAnsi="Arial" w:cs="Arial"/>
            <w:color w:val="00905A"/>
            <w:u w:val="single"/>
          </w:rPr>
          <w:t>Thromb</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Haemost</w:t>
        </w:r>
        <w:proofErr w:type="spellEnd"/>
        <w:r w:rsidRPr="003765D3">
          <w:rPr>
            <w:rFonts w:ascii="Arial" w:eastAsia="Times New Roman" w:hAnsi="Arial" w:cs="Arial"/>
            <w:color w:val="00905A"/>
            <w:u w:val="single"/>
          </w:rPr>
          <w:t xml:space="preserve"> 2015; 13:457.</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16" w:history="1">
        <w:r w:rsidRPr="003765D3">
          <w:rPr>
            <w:rFonts w:ascii="Arial" w:eastAsia="Times New Roman" w:hAnsi="Arial" w:cs="Arial"/>
            <w:color w:val="00905A"/>
            <w:u w:val="single"/>
          </w:rPr>
          <w:t xml:space="preserve">Arnold DM. Bleeding complications in immune thrombocytopenia. Hematology Am </w:t>
        </w:r>
        <w:proofErr w:type="spellStart"/>
        <w:r w:rsidRPr="003765D3">
          <w:rPr>
            <w:rFonts w:ascii="Arial" w:eastAsia="Times New Roman" w:hAnsi="Arial" w:cs="Arial"/>
            <w:color w:val="00905A"/>
            <w:u w:val="single"/>
          </w:rPr>
          <w:t>Soc</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Hematol</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Educ</w:t>
        </w:r>
        <w:proofErr w:type="spellEnd"/>
        <w:r w:rsidRPr="003765D3">
          <w:rPr>
            <w:rFonts w:ascii="Arial" w:eastAsia="Times New Roman" w:hAnsi="Arial" w:cs="Arial"/>
            <w:color w:val="00905A"/>
            <w:u w:val="single"/>
          </w:rPr>
          <w:t xml:space="preserve"> Program 2015; 2015:237.</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17" w:history="1">
        <w:r w:rsidRPr="003765D3">
          <w:rPr>
            <w:rFonts w:ascii="Arial" w:eastAsia="Times New Roman" w:hAnsi="Arial" w:cs="Arial"/>
            <w:color w:val="00905A"/>
            <w:u w:val="single"/>
          </w:rPr>
          <w:t xml:space="preserve">Gardner FH, Helmer RE 3rd. </w:t>
        </w:r>
        <w:proofErr w:type="spellStart"/>
        <w:r w:rsidRPr="003765D3">
          <w:rPr>
            <w:rFonts w:ascii="Arial" w:eastAsia="Times New Roman" w:hAnsi="Arial" w:cs="Arial"/>
            <w:color w:val="00905A"/>
            <w:u w:val="single"/>
          </w:rPr>
          <w:t>Aminocaproic</w:t>
        </w:r>
        <w:proofErr w:type="spellEnd"/>
        <w:r w:rsidRPr="003765D3">
          <w:rPr>
            <w:rFonts w:ascii="Arial" w:eastAsia="Times New Roman" w:hAnsi="Arial" w:cs="Arial"/>
            <w:color w:val="00905A"/>
            <w:u w:val="single"/>
          </w:rPr>
          <w:t xml:space="preserve"> acid. Use in control of hemorrhage in patients with </w:t>
        </w:r>
        <w:proofErr w:type="spellStart"/>
        <w:r w:rsidRPr="003765D3">
          <w:rPr>
            <w:rFonts w:ascii="Arial" w:eastAsia="Times New Roman" w:hAnsi="Arial" w:cs="Arial"/>
            <w:color w:val="00905A"/>
            <w:u w:val="single"/>
          </w:rPr>
          <w:t>amegakaryocytic</w:t>
        </w:r>
        <w:proofErr w:type="spellEnd"/>
        <w:r w:rsidRPr="003765D3">
          <w:rPr>
            <w:rFonts w:ascii="Arial" w:eastAsia="Times New Roman" w:hAnsi="Arial" w:cs="Arial"/>
            <w:color w:val="00905A"/>
            <w:u w:val="single"/>
          </w:rPr>
          <w:t xml:space="preserve"> thrombocytopenia. JAMA 1980; 243:35.</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18" w:history="1">
        <w:r w:rsidRPr="003765D3">
          <w:rPr>
            <w:rFonts w:ascii="Arial" w:eastAsia="Times New Roman" w:hAnsi="Arial" w:cs="Arial"/>
            <w:color w:val="00905A"/>
            <w:u w:val="single"/>
          </w:rPr>
          <w:t xml:space="preserve">Bartholomew JR, </w:t>
        </w:r>
        <w:proofErr w:type="spellStart"/>
        <w:r w:rsidRPr="003765D3">
          <w:rPr>
            <w:rFonts w:ascii="Arial" w:eastAsia="Times New Roman" w:hAnsi="Arial" w:cs="Arial"/>
            <w:color w:val="00905A"/>
            <w:u w:val="single"/>
          </w:rPr>
          <w:t>Salgia</w:t>
        </w:r>
        <w:proofErr w:type="spellEnd"/>
        <w:r w:rsidRPr="003765D3">
          <w:rPr>
            <w:rFonts w:ascii="Arial" w:eastAsia="Times New Roman" w:hAnsi="Arial" w:cs="Arial"/>
            <w:color w:val="00905A"/>
            <w:u w:val="single"/>
          </w:rPr>
          <w:t xml:space="preserve"> R, Bell WR. Control of bleeding in patients with immune and nonimmune thrombocytopenia with </w:t>
        </w:r>
        <w:proofErr w:type="spellStart"/>
        <w:r w:rsidRPr="003765D3">
          <w:rPr>
            <w:rFonts w:ascii="Arial" w:eastAsia="Times New Roman" w:hAnsi="Arial" w:cs="Arial"/>
            <w:color w:val="00905A"/>
            <w:u w:val="single"/>
          </w:rPr>
          <w:t>aminocaproic</w:t>
        </w:r>
        <w:proofErr w:type="spellEnd"/>
        <w:r w:rsidRPr="003765D3">
          <w:rPr>
            <w:rFonts w:ascii="Arial" w:eastAsia="Times New Roman" w:hAnsi="Arial" w:cs="Arial"/>
            <w:color w:val="00905A"/>
            <w:u w:val="single"/>
          </w:rPr>
          <w:t xml:space="preserve"> acid. Arch Intern Med 1989; 149:1959.</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19" w:history="1">
        <w:proofErr w:type="spellStart"/>
        <w:r w:rsidRPr="003765D3">
          <w:rPr>
            <w:rFonts w:ascii="Arial" w:eastAsia="Times New Roman" w:hAnsi="Arial" w:cs="Arial"/>
            <w:color w:val="00905A"/>
            <w:u w:val="single"/>
          </w:rPr>
          <w:t>Kalmadi</w:t>
        </w:r>
        <w:proofErr w:type="spellEnd"/>
        <w:r w:rsidRPr="003765D3">
          <w:rPr>
            <w:rFonts w:ascii="Arial" w:eastAsia="Times New Roman" w:hAnsi="Arial" w:cs="Arial"/>
            <w:color w:val="00905A"/>
            <w:u w:val="single"/>
          </w:rPr>
          <w:t xml:space="preserve"> S, Tiu R, Lowe C, et al. Epsilon </w:t>
        </w:r>
        <w:proofErr w:type="spellStart"/>
        <w:r w:rsidRPr="003765D3">
          <w:rPr>
            <w:rFonts w:ascii="Arial" w:eastAsia="Times New Roman" w:hAnsi="Arial" w:cs="Arial"/>
            <w:color w:val="00905A"/>
            <w:u w:val="single"/>
          </w:rPr>
          <w:t>aminocaproic</w:t>
        </w:r>
        <w:proofErr w:type="spellEnd"/>
        <w:r w:rsidRPr="003765D3">
          <w:rPr>
            <w:rFonts w:ascii="Arial" w:eastAsia="Times New Roman" w:hAnsi="Arial" w:cs="Arial"/>
            <w:color w:val="00905A"/>
            <w:u w:val="single"/>
          </w:rPr>
          <w:t xml:space="preserve"> acid reduces transfusion requirements in patients with thrombocytopenic hemorrhage. Cancer 2006; 107:136.</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20" w:history="1">
        <w:proofErr w:type="spellStart"/>
        <w:r w:rsidRPr="003765D3">
          <w:rPr>
            <w:rFonts w:ascii="Arial" w:eastAsia="Times New Roman" w:hAnsi="Arial" w:cs="Arial"/>
            <w:color w:val="00905A"/>
            <w:u w:val="single"/>
          </w:rPr>
          <w:t>Godeau</w:t>
        </w:r>
        <w:proofErr w:type="spellEnd"/>
        <w:r w:rsidRPr="003765D3">
          <w:rPr>
            <w:rFonts w:ascii="Arial" w:eastAsia="Times New Roman" w:hAnsi="Arial" w:cs="Arial"/>
            <w:color w:val="00905A"/>
            <w:u w:val="single"/>
          </w:rPr>
          <w:t xml:space="preserve"> B, </w:t>
        </w:r>
        <w:proofErr w:type="spellStart"/>
        <w:r w:rsidRPr="003765D3">
          <w:rPr>
            <w:rFonts w:ascii="Arial" w:eastAsia="Times New Roman" w:hAnsi="Arial" w:cs="Arial"/>
            <w:color w:val="00905A"/>
            <w:u w:val="single"/>
          </w:rPr>
          <w:t>Chevret</w:t>
        </w:r>
        <w:proofErr w:type="spellEnd"/>
        <w:r w:rsidRPr="003765D3">
          <w:rPr>
            <w:rFonts w:ascii="Arial" w:eastAsia="Times New Roman" w:hAnsi="Arial" w:cs="Arial"/>
            <w:color w:val="00905A"/>
            <w:u w:val="single"/>
          </w:rPr>
          <w:t xml:space="preserve"> S, </w:t>
        </w:r>
        <w:proofErr w:type="spellStart"/>
        <w:r w:rsidRPr="003765D3">
          <w:rPr>
            <w:rFonts w:ascii="Arial" w:eastAsia="Times New Roman" w:hAnsi="Arial" w:cs="Arial"/>
            <w:color w:val="00905A"/>
            <w:u w:val="single"/>
          </w:rPr>
          <w:t>Varet</w:t>
        </w:r>
        <w:proofErr w:type="spellEnd"/>
        <w:r w:rsidRPr="003765D3">
          <w:rPr>
            <w:rFonts w:ascii="Arial" w:eastAsia="Times New Roman" w:hAnsi="Arial" w:cs="Arial"/>
            <w:color w:val="00905A"/>
            <w:u w:val="single"/>
          </w:rPr>
          <w:t xml:space="preserve"> B, et al. Intravenous immunoglobulin or high-dose methylprednisolone, with or without oral prednisone, for adults with untreated severe autoimmune thrombocytopenic purpura: a </w:t>
        </w:r>
        <w:proofErr w:type="spellStart"/>
        <w:r w:rsidRPr="003765D3">
          <w:rPr>
            <w:rFonts w:ascii="Arial" w:eastAsia="Times New Roman" w:hAnsi="Arial" w:cs="Arial"/>
            <w:color w:val="00905A"/>
            <w:u w:val="single"/>
          </w:rPr>
          <w:t>randomised</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multicentre</w:t>
        </w:r>
        <w:proofErr w:type="spellEnd"/>
        <w:r w:rsidRPr="003765D3">
          <w:rPr>
            <w:rFonts w:ascii="Arial" w:eastAsia="Times New Roman" w:hAnsi="Arial" w:cs="Arial"/>
            <w:color w:val="00905A"/>
            <w:u w:val="single"/>
          </w:rPr>
          <w:t xml:space="preserve"> trial. Lancet 2002; 359:23.</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21" w:history="1">
        <w:r w:rsidRPr="003765D3">
          <w:rPr>
            <w:rFonts w:ascii="Arial" w:eastAsia="Times New Roman" w:hAnsi="Arial" w:cs="Arial"/>
            <w:color w:val="00905A"/>
            <w:u w:val="single"/>
          </w:rPr>
          <w:t xml:space="preserve">Cooper N, </w:t>
        </w:r>
        <w:proofErr w:type="spellStart"/>
        <w:r w:rsidRPr="003765D3">
          <w:rPr>
            <w:rFonts w:ascii="Arial" w:eastAsia="Times New Roman" w:hAnsi="Arial" w:cs="Arial"/>
            <w:color w:val="00905A"/>
            <w:u w:val="single"/>
          </w:rPr>
          <w:t>Woloski</w:t>
        </w:r>
        <w:proofErr w:type="spellEnd"/>
        <w:r w:rsidRPr="003765D3">
          <w:rPr>
            <w:rFonts w:ascii="Arial" w:eastAsia="Times New Roman" w:hAnsi="Arial" w:cs="Arial"/>
            <w:color w:val="00905A"/>
            <w:u w:val="single"/>
          </w:rPr>
          <w:t xml:space="preserve"> BM, </w:t>
        </w:r>
        <w:proofErr w:type="spellStart"/>
        <w:r w:rsidRPr="003765D3">
          <w:rPr>
            <w:rFonts w:ascii="Arial" w:eastAsia="Times New Roman" w:hAnsi="Arial" w:cs="Arial"/>
            <w:color w:val="00905A"/>
            <w:u w:val="single"/>
          </w:rPr>
          <w:t>Fodero</w:t>
        </w:r>
        <w:proofErr w:type="spellEnd"/>
        <w:r w:rsidRPr="003765D3">
          <w:rPr>
            <w:rFonts w:ascii="Arial" w:eastAsia="Times New Roman" w:hAnsi="Arial" w:cs="Arial"/>
            <w:color w:val="00905A"/>
            <w:u w:val="single"/>
          </w:rPr>
          <w:t xml:space="preserve"> EM, et al. Does treatment with intermittent infusions of intravenous anti-D allow a proportion of adults with recently diagnosed immune thrombocytopenic purpura to avoid splenectomy? Blood 2002; 99:1922.</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22" w:history="1">
        <w:proofErr w:type="spellStart"/>
        <w:r w:rsidRPr="003765D3">
          <w:rPr>
            <w:rFonts w:ascii="Arial" w:eastAsia="Times New Roman" w:hAnsi="Arial" w:cs="Arial"/>
            <w:color w:val="00905A"/>
            <w:u w:val="single"/>
          </w:rPr>
          <w:t>Mizutani</w:t>
        </w:r>
        <w:proofErr w:type="spellEnd"/>
        <w:r w:rsidRPr="003765D3">
          <w:rPr>
            <w:rFonts w:ascii="Arial" w:eastAsia="Times New Roman" w:hAnsi="Arial" w:cs="Arial"/>
            <w:color w:val="00905A"/>
            <w:u w:val="single"/>
          </w:rPr>
          <w:t xml:space="preserve"> H, </w:t>
        </w:r>
        <w:proofErr w:type="spellStart"/>
        <w:r w:rsidRPr="003765D3">
          <w:rPr>
            <w:rFonts w:ascii="Arial" w:eastAsia="Times New Roman" w:hAnsi="Arial" w:cs="Arial"/>
            <w:color w:val="00905A"/>
            <w:u w:val="single"/>
          </w:rPr>
          <w:t>Furubayashi</w:t>
        </w:r>
        <w:proofErr w:type="spellEnd"/>
        <w:r w:rsidRPr="003765D3">
          <w:rPr>
            <w:rFonts w:ascii="Arial" w:eastAsia="Times New Roman" w:hAnsi="Arial" w:cs="Arial"/>
            <w:color w:val="00905A"/>
            <w:u w:val="single"/>
          </w:rPr>
          <w:t xml:space="preserve"> T, Imai Y, et al. Mechanisms of corticosteroid action in immune thrombocytopenic purpura (ITP): experimental studies using ITP-prone mice, (NZW x BXSB) F1. Blood 1992; 79:942.</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23" w:history="1">
        <w:proofErr w:type="spellStart"/>
        <w:r w:rsidRPr="003765D3">
          <w:rPr>
            <w:rFonts w:ascii="Arial" w:eastAsia="Times New Roman" w:hAnsi="Arial" w:cs="Arial"/>
            <w:color w:val="00905A"/>
            <w:u w:val="single"/>
          </w:rPr>
          <w:t>Mithoowani</w:t>
        </w:r>
        <w:proofErr w:type="spellEnd"/>
        <w:r w:rsidRPr="003765D3">
          <w:rPr>
            <w:rFonts w:ascii="Arial" w:eastAsia="Times New Roman" w:hAnsi="Arial" w:cs="Arial"/>
            <w:color w:val="00905A"/>
            <w:u w:val="single"/>
          </w:rPr>
          <w:t xml:space="preserve"> S, Gregory-Miller K, Goy J, et al. High-dose dexamethasone compared with prednisone for previously untreated primary immune thrombocytopenia: a systematic review and meta-analysis. Lancet </w:t>
        </w:r>
        <w:proofErr w:type="spellStart"/>
        <w:r w:rsidRPr="003765D3">
          <w:rPr>
            <w:rFonts w:ascii="Arial" w:eastAsia="Times New Roman" w:hAnsi="Arial" w:cs="Arial"/>
            <w:color w:val="00905A"/>
            <w:u w:val="single"/>
          </w:rPr>
          <w:t>Haematol</w:t>
        </w:r>
        <w:proofErr w:type="spellEnd"/>
        <w:r w:rsidRPr="003765D3">
          <w:rPr>
            <w:rFonts w:ascii="Arial" w:eastAsia="Times New Roman" w:hAnsi="Arial" w:cs="Arial"/>
            <w:color w:val="00905A"/>
            <w:u w:val="single"/>
          </w:rPr>
          <w:t xml:space="preserve"> 2016; 3:e489.</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24" w:history="1">
        <w:proofErr w:type="spellStart"/>
        <w:r w:rsidRPr="003765D3">
          <w:rPr>
            <w:rFonts w:ascii="Arial" w:eastAsia="Times New Roman" w:hAnsi="Arial" w:cs="Arial"/>
            <w:color w:val="00905A"/>
            <w:u w:val="single"/>
          </w:rPr>
          <w:t>Mazzucconi</w:t>
        </w:r>
        <w:proofErr w:type="spellEnd"/>
        <w:r w:rsidRPr="003765D3">
          <w:rPr>
            <w:rFonts w:ascii="Arial" w:eastAsia="Times New Roman" w:hAnsi="Arial" w:cs="Arial"/>
            <w:color w:val="00905A"/>
            <w:u w:val="single"/>
          </w:rPr>
          <w:t xml:space="preserve"> MG, </w:t>
        </w:r>
        <w:proofErr w:type="spellStart"/>
        <w:r w:rsidRPr="003765D3">
          <w:rPr>
            <w:rFonts w:ascii="Arial" w:eastAsia="Times New Roman" w:hAnsi="Arial" w:cs="Arial"/>
            <w:color w:val="00905A"/>
            <w:u w:val="single"/>
          </w:rPr>
          <w:t>Fazi</w:t>
        </w:r>
        <w:proofErr w:type="spellEnd"/>
        <w:r w:rsidRPr="003765D3">
          <w:rPr>
            <w:rFonts w:ascii="Arial" w:eastAsia="Times New Roman" w:hAnsi="Arial" w:cs="Arial"/>
            <w:color w:val="00905A"/>
            <w:u w:val="single"/>
          </w:rPr>
          <w:t xml:space="preserve"> P, </w:t>
        </w:r>
        <w:proofErr w:type="spellStart"/>
        <w:r w:rsidRPr="003765D3">
          <w:rPr>
            <w:rFonts w:ascii="Arial" w:eastAsia="Times New Roman" w:hAnsi="Arial" w:cs="Arial"/>
            <w:color w:val="00905A"/>
            <w:u w:val="single"/>
          </w:rPr>
          <w:t>Bernasconi</w:t>
        </w:r>
        <w:proofErr w:type="spellEnd"/>
        <w:r w:rsidRPr="003765D3">
          <w:rPr>
            <w:rFonts w:ascii="Arial" w:eastAsia="Times New Roman" w:hAnsi="Arial" w:cs="Arial"/>
            <w:color w:val="00905A"/>
            <w:u w:val="single"/>
          </w:rPr>
          <w:t xml:space="preserve"> S, et al. Therapy with high-dose dexamethasone (HD-DXM) in previously untreated patients affected by idiopathic thrombocytopenic purpura: a GIMEMA experience. Blood 2007; 109:1401.</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25" w:history="1">
        <w:r w:rsidRPr="003765D3">
          <w:rPr>
            <w:rFonts w:ascii="Arial" w:eastAsia="Times New Roman" w:hAnsi="Arial" w:cs="Arial"/>
            <w:color w:val="00905A"/>
            <w:u w:val="single"/>
          </w:rPr>
          <w:t xml:space="preserve">Cheng Y, Wong RS, Soo YO, et al. Initial treatment of immune thrombocytopenic purpura with high-dose dexamethasone. N </w:t>
        </w:r>
        <w:proofErr w:type="spellStart"/>
        <w:r w:rsidRPr="003765D3">
          <w:rPr>
            <w:rFonts w:ascii="Arial" w:eastAsia="Times New Roman" w:hAnsi="Arial" w:cs="Arial"/>
            <w:color w:val="00905A"/>
            <w:u w:val="single"/>
          </w:rPr>
          <w:t>Engl</w:t>
        </w:r>
        <w:proofErr w:type="spellEnd"/>
        <w:r w:rsidRPr="003765D3">
          <w:rPr>
            <w:rFonts w:ascii="Arial" w:eastAsia="Times New Roman" w:hAnsi="Arial" w:cs="Arial"/>
            <w:color w:val="00905A"/>
            <w:u w:val="single"/>
          </w:rPr>
          <w:t xml:space="preserve"> J Med 2003; 349:831.</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26" w:history="1">
        <w:r w:rsidRPr="003765D3">
          <w:rPr>
            <w:rFonts w:ascii="Arial" w:eastAsia="Times New Roman" w:hAnsi="Arial" w:cs="Arial"/>
            <w:color w:val="00905A"/>
            <w:u w:val="single"/>
          </w:rPr>
          <w:t xml:space="preserve">Guidry JA, George JN, </w:t>
        </w:r>
        <w:proofErr w:type="spellStart"/>
        <w:r w:rsidRPr="003765D3">
          <w:rPr>
            <w:rFonts w:ascii="Arial" w:eastAsia="Times New Roman" w:hAnsi="Arial" w:cs="Arial"/>
            <w:color w:val="00905A"/>
            <w:u w:val="single"/>
          </w:rPr>
          <w:t>Vesely</w:t>
        </w:r>
        <w:proofErr w:type="spellEnd"/>
        <w:r w:rsidRPr="003765D3">
          <w:rPr>
            <w:rFonts w:ascii="Arial" w:eastAsia="Times New Roman" w:hAnsi="Arial" w:cs="Arial"/>
            <w:color w:val="00905A"/>
            <w:u w:val="single"/>
          </w:rPr>
          <w:t xml:space="preserve"> SK, et al. Corticosteroid side-effects and risk for bleeding in immune thrombocytopenic purpura: patient and hematologist perspectives. </w:t>
        </w:r>
        <w:proofErr w:type="spellStart"/>
        <w:r w:rsidRPr="003765D3">
          <w:rPr>
            <w:rFonts w:ascii="Arial" w:eastAsia="Times New Roman" w:hAnsi="Arial" w:cs="Arial"/>
            <w:color w:val="00905A"/>
            <w:u w:val="single"/>
          </w:rPr>
          <w:t>Eur</w:t>
        </w:r>
        <w:proofErr w:type="spellEnd"/>
        <w:r w:rsidRPr="003765D3">
          <w:rPr>
            <w:rFonts w:ascii="Arial" w:eastAsia="Times New Roman" w:hAnsi="Arial" w:cs="Arial"/>
            <w:color w:val="00905A"/>
            <w:u w:val="single"/>
          </w:rPr>
          <w:t xml:space="preserve"> J </w:t>
        </w:r>
        <w:proofErr w:type="spellStart"/>
        <w:r w:rsidRPr="003765D3">
          <w:rPr>
            <w:rFonts w:ascii="Arial" w:eastAsia="Times New Roman" w:hAnsi="Arial" w:cs="Arial"/>
            <w:color w:val="00905A"/>
            <w:u w:val="single"/>
          </w:rPr>
          <w:t>Haematol</w:t>
        </w:r>
        <w:proofErr w:type="spellEnd"/>
        <w:r w:rsidRPr="003765D3">
          <w:rPr>
            <w:rFonts w:ascii="Arial" w:eastAsia="Times New Roman" w:hAnsi="Arial" w:cs="Arial"/>
            <w:color w:val="00905A"/>
            <w:u w:val="single"/>
          </w:rPr>
          <w:t xml:space="preserve"> 2009; 83:175.</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27" w:history="1">
        <w:r w:rsidRPr="003765D3">
          <w:rPr>
            <w:rFonts w:ascii="Arial" w:eastAsia="Times New Roman" w:hAnsi="Arial" w:cs="Arial"/>
            <w:color w:val="00905A"/>
            <w:u w:val="single"/>
          </w:rPr>
          <w:t xml:space="preserve">Guidry JA, Watson S, George JN, et al. Addendum to corticosteroid side effects and risk for bleeding in immune thrombocytopenic purpura: patient perspectives. </w:t>
        </w:r>
        <w:proofErr w:type="spellStart"/>
        <w:r w:rsidRPr="003765D3">
          <w:rPr>
            <w:rFonts w:ascii="Arial" w:eastAsia="Times New Roman" w:hAnsi="Arial" w:cs="Arial"/>
            <w:color w:val="00905A"/>
            <w:u w:val="single"/>
          </w:rPr>
          <w:t>Eur</w:t>
        </w:r>
        <w:proofErr w:type="spellEnd"/>
        <w:r w:rsidRPr="003765D3">
          <w:rPr>
            <w:rFonts w:ascii="Arial" w:eastAsia="Times New Roman" w:hAnsi="Arial" w:cs="Arial"/>
            <w:color w:val="00905A"/>
            <w:u w:val="single"/>
          </w:rPr>
          <w:t xml:space="preserve"> J </w:t>
        </w:r>
        <w:proofErr w:type="spellStart"/>
        <w:r w:rsidRPr="003765D3">
          <w:rPr>
            <w:rFonts w:ascii="Arial" w:eastAsia="Times New Roman" w:hAnsi="Arial" w:cs="Arial"/>
            <w:color w:val="00905A"/>
            <w:u w:val="single"/>
          </w:rPr>
          <w:t>Haematol</w:t>
        </w:r>
        <w:proofErr w:type="spellEnd"/>
        <w:r w:rsidRPr="003765D3">
          <w:rPr>
            <w:rFonts w:ascii="Arial" w:eastAsia="Times New Roman" w:hAnsi="Arial" w:cs="Arial"/>
            <w:color w:val="00905A"/>
            <w:u w:val="single"/>
          </w:rPr>
          <w:t xml:space="preserve"> 2009; 83:497.</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28" w:history="1">
        <w:proofErr w:type="spellStart"/>
        <w:r w:rsidRPr="003765D3">
          <w:rPr>
            <w:rFonts w:ascii="Arial" w:eastAsia="Times New Roman" w:hAnsi="Arial" w:cs="Arial"/>
            <w:color w:val="00905A"/>
            <w:u w:val="single"/>
          </w:rPr>
          <w:t>Salib</w:t>
        </w:r>
        <w:proofErr w:type="spellEnd"/>
        <w:r w:rsidRPr="003765D3">
          <w:rPr>
            <w:rFonts w:ascii="Arial" w:eastAsia="Times New Roman" w:hAnsi="Arial" w:cs="Arial"/>
            <w:color w:val="00905A"/>
            <w:u w:val="single"/>
          </w:rPr>
          <w:t xml:space="preserve"> M, </w:t>
        </w:r>
        <w:proofErr w:type="spellStart"/>
        <w:r w:rsidRPr="003765D3">
          <w:rPr>
            <w:rFonts w:ascii="Arial" w:eastAsia="Times New Roman" w:hAnsi="Arial" w:cs="Arial"/>
            <w:color w:val="00905A"/>
            <w:u w:val="single"/>
          </w:rPr>
          <w:t>Clayden</w:t>
        </w:r>
        <w:proofErr w:type="spellEnd"/>
        <w:r w:rsidRPr="003765D3">
          <w:rPr>
            <w:rFonts w:ascii="Arial" w:eastAsia="Times New Roman" w:hAnsi="Arial" w:cs="Arial"/>
            <w:color w:val="00905A"/>
            <w:u w:val="single"/>
          </w:rPr>
          <w:t xml:space="preserve"> R, Clare R, et al. Difficulties in establishing the diagnosis of immune thrombocytopenia: An agreement study. Am J </w:t>
        </w:r>
        <w:proofErr w:type="spellStart"/>
        <w:r w:rsidRPr="003765D3">
          <w:rPr>
            <w:rFonts w:ascii="Arial" w:eastAsia="Times New Roman" w:hAnsi="Arial" w:cs="Arial"/>
            <w:color w:val="00905A"/>
            <w:u w:val="single"/>
          </w:rPr>
          <w:t>Hematol</w:t>
        </w:r>
        <w:proofErr w:type="spellEnd"/>
        <w:r w:rsidRPr="003765D3">
          <w:rPr>
            <w:rFonts w:ascii="Arial" w:eastAsia="Times New Roman" w:hAnsi="Arial" w:cs="Arial"/>
            <w:color w:val="00905A"/>
            <w:u w:val="single"/>
          </w:rPr>
          <w:t xml:space="preserve"> 2016; 91:E327.</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29" w:history="1">
        <w:proofErr w:type="spellStart"/>
        <w:r w:rsidRPr="003765D3">
          <w:rPr>
            <w:rFonts w:ascii="Arial" w:eastAsia="Times New Roman" w:hAnsi="Arial" w:cs="Arial"/>
            <w:color w:val="00905A"/>
            <w:u w:val="single"/>
          </w:rPr>
          <w:t>Godeau</w:t>
        </w:r>
        <w:proofErr w:type="spellEnd"/>
        <w:r w:rsidRPr="003765D3">
          <w:rPr>
            <w:rFonts w:ascii="Arial" w:eastAsia="Times New Roman" w:hAnsi="Arial" w:cs="Arial"/>
            <w:color w:val="00905A"/>
            <w:u w:val="single"/>
          </w:rPr>
          <w:t xml:space="preserve"> B, </w:t>
        </w:r>
        <w:proofErr w:type="spellStart"/>
        <w:r w:rsidRPr="003765D3">
          <w:rPr>
            <w:rFonts w:ascii="Arial" w:eastAsia="Times New Roman" w:hAnsi="Arial" w:cs="Arial"/>
            <w:color w:val="00905A"/>
            <w:u w:val="single"/>
          </w:rPr>
          <w:t>Caulier</w:t>
        </w:r>
        <w:proofErr w:type="spellEnd"/>
        <w:r w:rsidRPr="003765D3">
          <w:rPr>
            <w:rFonts w:ascii="Arial" w:eastAsia="Times New Roman" w:hAnsi="Arial" w:cs="Arial"/>
            <w:color w:val="00905A"/>
            <w:u w:val="single"/>
          </w:rPr>
          <w:t xml:space="preserve"> MT, </w:t>
        </w:r>
        <w:proofErr w:type="spellStart"/>
        <w:r w:rsidRPr="003765D3">
          <w:rPr>
            <w:rFonts w:ascii="Arial" w:eastAsia="Times New Roman" w:hAnsi="Arial" w:cs="Arial"/>
            <w:color w:val="00905A"/>
            <w:u w:val="single"/>
          </w:rPr>
          <w:t>Decuypere</w:t>
        </w:r>
        <w:proofErr w:type="spellEnd"/>
        <w:r w:rsidRPr="003765D3">
          <w:rPr>
            <w:rFonts w:ascii="Arial" w:eastAsia="Times New Roman" w:hAnsi="Arial" w:cs="Arial"/>
            <w:color w:val="00905A"/>
            <w:u w:val="single"/>
          </w:rPr>
          <w:t xml:space="preserve"> L, et al. Intravenous immunoglobulin for adults with autoimmune thrombocytopenic purpura: results of a randomized trial comparing 0.5 and 1 g/kg </w:t>
        </w:r>
        <w:proofErr w:type="spellStart"/>
        <w:r w:rsidRPr="003765D3">
          <w:rPr>
            <w:rFonts w:ascii="Arial" w:eastAsia="Times New Roman" w:hAnsi="Arial" w:cs="Arial"/>
            <w:color w:val="00905A"/>
            <w:u w:val="single"/>
          </w:rPr>
          <w:t>b.w</w:t>
        </w:r>
        <w:proofErr w:type="spellEnd"/>
        <w:r w:rsidRPr="003765D3">
          <w:rPr>
            <w:rFonts w:ascii="Arial" w:eastAsia="Times New Roman" w:hAnsi="Arial" w:cs="Arial"/>
            <w:color w:val="00905A"/>
            <w:u w:val="single"/>
          </w:rPr>
          <w:t xml:space="preserve">. Br J </w:t>
        </w:r>
        <w:proofErr w:type="spellStart"/>
        <w:r w:rsidRPr="003765D3">
          <w:rPr>
            <w:rFonts w:ascii="Arial" w:eastAsia="Times New Roman" w:hAnsi="Arial" w:cs="Arial"/>
            <w:color w:val="00905A"/>
            <w:u w:val="single"/>
          </w:rPr>
          <w:t>Haematol</w:t>
        </w:r>
        <w:proofErr w:type="spellEnd"/>
        <w:r w:rsidRPr="003765D3">
          <w:rPr>
            <w:rFonts w:ascii="Arial" w:eastAsia="Times New Roman" w:hAnsi="Arial" w:cs="Arial"/>
            <w:color w:val="00905A"/>
            <w:u w:val="single"/>
          </w:rPr>
          <w:t xml:space="preserve"> 1999; 107:716.</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30" w:history="1">
        <w:proofErr w:type="spellStart"/>
        <w:r w:rsidRPr="003765D3">
          <w:rPr>
            <w:rFonts w:ascii="Arial" w:eastAsia="Times New Roman" w:hAnsi="Arial" w:cs="Arial"/>
            <w:color w:val="00905A"/>
            <w:u w:val="single"/>
          </w:rPr>
          <w:t>Ammann</w:t>
        </w:r>
        <w:proofErr w:type="spellEnd"/>
        <w:r w:rsidRPr="003765D3">
          <w:rPr>
            <w:rFonts w:ascii="Arial" w:eastAsia="Times New Roman" w:hAnsi="Arial" w:cs="Arial"/>
            <w:color w:val="00905A"/>
            <w:u w:val="single"/>
          </w:rPr>
          <w:t xml:space="preserve"> EM, Haskins CB, </w:t>
        </w:r>
        <w:proofErr w:type="spellStart"/>
        <w:r w:rsidRPr="003765D3">
          <w:rPr>
            <w:rFonts w:ascii="Arial" w:eastAsia="Times New Roman" w:hAnsi="Arial" w:cs="Arial"/>
            <w:color w:val="00905A"/>
            <w:u w:val="single"/>
          </w:rPr>
          <w:t>Fillman</w:t>
        </w:r>
        <w:proofErr w:type="spellEnd"/>
        <w:r w:rsidRPr="003765D3">
          <w:rPr>
            <w:rFonts w:ascii="Arial" w:eastAsia="Times New Roman" w:hAnsi="Arial" w:cs="Arial"/>
            <w:color w:val="00905A"/>
            <w:u w:val="single"/>
          </w:rPr>
          <w:t xml:space="preserve"> KM, et al. Intravenous immune globulin and thromboembolic adverse events: A systematic review and meta-analysis of RCTs. Am J </w:t>
        </w:r>
        <w:proofErr w:type="spellStart"/>
        <w:r w:rsidRPr="003765D3">
          <w:rPr>
            <w:rFonts w:ascii="Arial" w:eastAsia="Times New Roman" w:hAnsi="Arial" w:cs="Arial"/>
            <w:color w:val="00905A"/>
            <w:u w:val="single"/>
          </w:rPr>
          <w:t>Hematol</w:t>
        </w:r>
        <w:proofErr w:type="spellEnd"/>
        <w:r w:rsidRPr="003765D3">
          <w:rPr>
            <w:rFonts w:ascii="Arial" w:eastAsia="Times New Roman" w:hAnsi="Arial" w:cs="Arial"/>
            <w:color w:val="00905A"/>
            <w:u w:val="single"/>
          </w:rPr>
          <w:t xml:space="preserve"> 2016; 91:594.</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31" w:history="1">
        <w:r w:rsidRPr="003765D3">
          <w:rPr>
            <w:rFonts w:ascii="Arial" w:eastAsia="Times New Roman" w:hAnsi="Arial" w:cs="Arial"/>
            <w:color w:val="00905A"/>
            <w:u w:val="single"/>
          </w:rPr>
          <w:t xml:space="preserve">Ware RE, Zimmerman SA. Anti-D: mechanisms of action. </w:t>
        </w:r>
        <w:proofErr w:type="spellStart"/>
        <w:r w:rsidRPr="003765D3">
          <w:rPr>
            <w:rFonts w:ascii="Arial" w:eastAsia="Times New Roman" w:hAnsi="Arial" w:cs="Arial"/>
            <w:color w:val="00905A"/>
            <w:u w:val="single"/>
          </w:rPr>
          <w:t>Semin</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Hematol</w:t>
        </w:r>
        <w:proofErr w:type="spellEnd"/>
        <w:r w:rsidRPr="003765D3">
          <w:rPr>
            <w:rFonts w:ascii="Arial" w:eastAsia="Times New Roman" w:hAnsi="Arial" w:cs="Arial"/>
            <w:color w:val="00905A"/>
            <w:u w:val="single"/>
          </w:rPr>
          <w:t xml:space="preserve"> 1998; 35:14.</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32" w:history="1">
        <w:proofErr w:type="spellStart"/>
        <w:r w:rsidRPr="003765D3">
          <w:rPr>
            <w:rFonts w:ascii="Arial" w:eastAsia="Times New Roman" w:hAnsi="Arial" w:cs="Arial"/>
            <w:color w:val="00905A"/>
            <w:u w:val="single"/>
          </w:rPr>
          <w:t>Bussel</w:t>
        </w:r>
        <w:proofErr w:type="spellEnd"/>
        <w:r w:rsidRPr="003765D3">
          <w:rPr>
            <w:rFonts w:ascii="Arial" w:eastAsia="Times New Roman" w:hAnsi="Arial" w:cs="Arial"/>
            <w:color w:val="00905A"/>
            <w:u w:val="single"/>
          </w:rPr>
          <w:t xml:space="preserve"> JB, </w:t>
        </w:r>
        <w:proofErr w:type="spellStart"/>
        <w:r w:rsidRPr="003765D3">
          <w:rPr>
            <w:rFonts w:ascii="Arial" w:eastAsia="Times New Roman" w:hAnsi="Arial" w:cs="Arial"/>
            <w:color w:val="00905A"/>
            <w:u w:val="single"/>
          </w:rPr>
          <w:t>Graziano</w:t>
        </w:r>
        <w:proofErr w:type="spellEnd"/>
        <w:r w:rsidRPr="003765D3">
          <w:rPr>
            <w:rFonts w:ascii="Arial" w:eastAsia="Times New Roman" w:hAnsi="Arial" w:cs="Arial"/>
            <w:color w:val="00905A"/>
            <w:u w:val="single"/>
          </w:rPr>
          <w:t xml:space="preserve"> JN, Kimberly RP, et al. Intravenous anti-D treatment of immune thrombocytopenic purpura: analysis of efficacy, toxicity, and mechanism of effect. Blood 1991; 77:1884.</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33" w:history="1">
        <w:r w:rsidRPr="003765D3">
          <w:rPr>
            <w:rFonts w:ascii="Arial" w:eastAsia="Times New Roman" w:hAnsi="Arial" w:cs="Arial"/>
            <w:color w:val="00905A"/>
            <w:u w:val="single"/>
          </w:rPr>
          <w:t xml:space="preserve">Newman GC, </w:t>
        </w:r>
        <w:proofErr w:type="spellStart"/>
        <w:r w:rsidRPr="003765D3">
          <w:rPr>
            <w:rFonts w:ascii="Arial" w:eastAsia="Times New Roman" w:hAnsi="Arial" w:cs="Arial"/>
            <w:color w:val="00905A"/>
            <w:u w:val="single"/>
          </w:rPr>
          <w:t>Novoa</w:t>
        </w:r>
        <w:proofErr w:type="spellEnd"/>
        <w:r w:rsidRPr="003765D3">
          <w:rPr>
            <w:rFonts w:ascii="Arial" w:eastAsia="Times New Roman" w:hAnsi="Arial" w:cs="Arial"/>
            <w:color w:val="00905A"/>
            <w:u w:val="single"/>
          </w:rPr>
          <w:t xml:space="preserve"> MV, </w:t>
        </w:r>
        <w:proofErr w:type="spellStart"/>
        <w:r w:rsidRPr="003765D3">
          <w:rPr>
            <w:rFonts w:ascii="Arial" w:eastAsia="Times New Roman" w:hAnsi="Arial" w:cs="Arial"/>
            <w:color w:val="00905A"/>
            <w:u w:val="single"/>
          </w:rPr>
          <w:t>Fodero</w:t>
        </w:r>
        <w:proofErr w:type="spellEnd"/>
        <w:r w:rsidRPr="003765D3">
          <w:rPr>
            <w:rFonts w:ascii="Arial" w:eastAsia="Times New Roman" w:hAnsi="Arial" w:cs="Arial"/>
            <w:color w:val="00905A"/>
            <w:u w:val="single"/>
          </w:rPr>
          <w:t xml:space="preserve"> EM, et al. A dose of 75 </w:t>
        </w:r>
        <w:proofErr w:type="spellStart"/>
        <w:r w:rsidRPr="003765D3">
          <w:rPr>
            <w:rFonts w:ascii="Arial" w:eastAsia="Times New Roman" w:hAnsi="Arial" w:cs="Arial"/>
            <w:color w:val="00905A"/>
            <w:u w:val="single"/>
          </w:rPr>
          <w:t>microg</w:t>
        </w:r>
        <w:proofErr w:type="spellEnd"/>
        <w:r w:rsidRPr="003765D3">
          <w:rPr>
            <w:rFonts w:ascii="Arial" w:eastAsia="Times New Roman" w:hAnsi="Arial" w:cs="Arial"/>
            <w:color w:val="00905A"/>
            <w:u w:val="single"/>
          </w:rPr>
          <w:t xml:space="preserve">/kg/d of </w:t>
        </w:r>
        <w:proofErr w:type="spellStart"/>
        <w:r w:rsidRPr="003765D3">
          <w:rPr>
            <w:rFonts w:ascii="Arial" w:eastAsia="Times New Roman" w:hAnsi="Arial" w:cs="Arial"/>
            <w:color w:val="00905A"/>
            <w:u w:val="single"/>
          </w:rPr>
          <w:t>i.v.</w:t>
        </w:r>
        <w:proofErr w:type="spellEnd"/>
        <w:r w:rsidRPr="003765D3">
          <w:rPr>
            <w:rFonts w:ascii="Arial" w:eastAsia="Times New Roman" w:hAnsi="Arial" w:cs="Arial"/>
            <w:color w:val="00905A"/>
            <w:u w:val="single"/>
          </w:rPr>
          <w:t xml:space="preserve"> anti-D increases the platelet count more rapidly and for a longer period of time than 50 </w:t>
        </w:r>
        <w:proofErr w:type="spellStart"/>
        <w:r w:rsidRPr="003765D3">
          <w:rPr>
            <w:rFonts w:ascii="Arial" w:eastAsia="Times New Roman" w:hAnsi="Arial" w:cs="Arial"/>
            <w:color w:val="00905A"/>
            <w:u w:val="single"/>
          </w:rPr>
          <w:t>microg</w:t>
        </w:r>
        <w:proofErr w:type="spellEnd"/>
        <w:r w:rsidRPr="003765D3">
          <w:rPr>
            <w:rFonts w:ascii="Arial" w:eastAsia="Times New Roman" w:hAnsi="Arial" w:cs="Arial"/>
            <w:color w:val="00905A"/>
            <w:u w:val="single"/>
          </w:rPr>
          <w:t xml:space="preserve">/kg/d in adults with immune thrombocytopenic purpura. Br J </w:t>
        </w:r>
        <w:proofErr w:type="spellStart"/>
        <w:r w:rsidRPr="003765D3">
          <w:rPr>
            <w:rFonts w:ascii="Arial" w:eastAsia="Times New Roman" w:hAnsi="Arial" w:cs="Arial"/>
            <w:color w:val="00905A"/>
            <w:u w:val="single"/>
          </w:rPr>
          <w:t>Haematol</w:t>
        </w:r>
        <w:proofErr w:type="spellEnd"/>
        <w:r w:rsidRPr="003765D3">
          <w:rPr>
            <w:rFonts w:ascii="Arial" w:eastAsia="Times New Roman" w:hAnsi="Arial" w:cs="Arial"/>
            <w:color w:val="00905A"/>
            <w:u w:val="single"/>
          </w:rPr>
          <w:t xml:space="preserve"> 2001; 112:1076.</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34" w:history="1">
        <w:r w:rsidRPr="003765D3">
          <w:rPr>
            <w:rFonts w:ascii="Arial" w:eastAsia="Times New Roman" w:hAnsi="Arial" w:cs="Arial"/>
            <w:color w:val="00905A"/>
            <w:u w:val="single"/>
          </w:rPr>
          <w:t xml:space="preserve">George JN, </w:t>
        </w:r>
        <w:proofErr w:type="spellStart"/>
        <w:r w:rsidRPr="003765D3">
          <w:rPr>
            <w:rFonts w:ascii="Arial" w:eastAsia="Times New Roman" w:hAnsi="Arial" w:cs="Arial"/>
            <w:color w:val="00905A"/>
            <w:u w:val="single"/>
          </w:rPr>
          <w:t>Raskob</w:t>
        </w:r>
        <w:proofErr w:type="spellEnd"/>
        <w:r w:rsidRPr="003765D3">
          <w:rPr>
            <w:rFonts w:ascii="Arial" w:eastAsia="Times New Roman" w:hAnsi="Arial" w:cs="Arial"/>
            <w:color w:val="00905A"/>
            <w:u w:val="single"/>
          </w:rPr>
          <w:t xml:space="preserve"> GE, </w:t>
        </w:r>
        <w:proofErr w:type="spellStart"/>
        <w:r w:rsidRPr="003765D3">
          <w:rPr>
            <w:rFonts w:ascii="Arial" w:eastAsia="Times New Roman" w:hAnsi="Arial" w:cs="Arial"/>
            <w:color w:val="00905A"/>
            <w:u w:val="single"/>
          </w:rPr>
          <w:t>Vesely</w:t>
        </w:r>
        <w:proofErr w:type="spellEnd"/>
        <w:r w:rsidRPr="003765D3">
          <w:rPr>
            <w:rFonts w:ascii="Arial" w:eastAsia="Times New Roman" w:hAnsi="Arial" w:cs="Arial"/>
            <w:color w:val="00905A"/>
            <w:u w:val="single"/>
          </w:rPr>
          <w:t xml:space="preserve"> SK, et al. Initial management of immune thrombocytopenic purpura in adults: a randomized controlled trial comparing intermittent anti-D with routine care. Am J </w:t>
        </w:r>
        <w:proofErr w:type="spellStart"/>
        <w:r w:rsidRPr="003765D3">
          <w:rPr>
            <w:rFonts w:ascii="Arial" w:eastAsia="Times New Roman" w:hAnsi="Arial" w:cs="Arial"/>
            <w:color w:val="00905A"/>
            <w:u w:val="single"/>
          </w:rPr>
          <w:t>Hematol</w:t>
        </w:r>
        <w:proofErr w:type="spellEnd"/>
        <w:r w:rsidRPr="003765D3">
          <w:rPr>
            <w:rFonts w:ascii="Arial" w:eastAsia="Times New Roman" w:hAnsi="Arial" w:cs="Arial"/>
            <w:color w:val="00905A"/>
            <w:u w:val="single"/>
          </w:rPr>
          <w:t xml:space="preserve"> 2003; </w:t>
        </w:r>
        <w:proofErr w:type="gramStart"/>
        <w:r w:rsidRPr="003765D3">
          <w:rPr>
            <w:rFonts w:ascii="Arial" w:eastAsia="Times New Roman" w:hAnsi="Arial" w:cs="Arial"/>
            <w:color w:val="00905A"/>
            <w:u w:val="single"/>
          </w:rPr>
          <w:t>74:161.</w:t>
        </w:r>
        <w:proofErr w:type="gramEnd"/>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35" w:history="1">
        <w:proofErr w:type="spellStart"/>
        <w:r w:rsidRPr="003765D3">
          <w:rPr>
            <w:rFonts w:ascii="Arial" w:eastAsia="Times New Roman" w:hAnsi="Arial" w:cs="Arial"/>
            <w:color w:val="00905A"/>
            <w:u w:val="single"/>
          </w:rPr>
          <w:t>Blanchette</w:t>
        </w:r>
        <w:proofErr w:type="spellEnd"/>
        <w:r w:rsidRPr="003765D3">
          <w:rPr>
            <w:rFonts w:ascii="Arial" w:eastAsia="Times New Roman" w:hAnsi="Arial" w:cs="Arial"/>
            <w:color w:val="00905A"/>
            <w:u w:val="single"/>
          </w:rPr>
          <w:t xml:space="preserve"> V, </w:t>
        </w:r>
        <w:proofErr w:type="spellStart"/>
        <w:r w:rsidRPr="003765D3">
          <w:rPr>
            <w:rFonts w:ascii="Arial" w:eastAsia="Times New Roman" w:hAnsi="Arial" w:cs="Arial"/>
            <w:color w:val="00905A"/>
            <w:u w:val="single"/>
          </w:rPr>
          <w:t>Imbach</w:t>
        </w:r>
        <w:proofErr w:type="spellEnd"/>
        <w:r w:rsidRPr="003765D3">
          <w:rPr>
            <w:rFonts w:ascii="Arial" w:eastAsia="Times New Roman" w:hAnsi="Arial" w:cs="Arial"/>
            <w:color w:val="00905A"/>
            <w:u w:val="single"/>
          </w:rPr>
          <w:t xml:space="preserve"> P, Andrew M, et al. </w:t>
        </w:r>
        <w:proofErr w:type="spellStart"/>
        <w:r w:rsidRPr="003765D3">
          <w:rPr>
            <w:rFonts w:ascii="Arial" w:eastAsia="Times New Roman" w:hAnsi="Arial" w:cs="Arial"/>
            <w:color w:val="00905A"/>
            <w:u w:val="single"/>
          </w:rPr>
          <w:t>Randomised</w:t>
        </w:r>
        <w:proofErr w:type="spellEnd"/>
        <w:r w:rsidRPr="003765D3">
          <w:rPr>
            <w:rFonts w:ascii="Arial" w:eastAsia="Times New Roman" w:hAnsi="Arial" w:cs="Arial"/>
            <w:color w:val="00905A"/>
            <w:u w:val="single"/>
          </w:rPr>
          <w:t xml:space="preserve"> trial of intravenous immunoglobulin G, intravenous anti-D, and oral prednisone in childhood acute immune thrombocytopenic purpura. Lancet 1994; 344:703.</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36" w:history="1">
        <w:proofErr w:type="spellStart"/>
        <w:r w:rsidRPr="003765D3">
          <w:rPr>
            <w:rFonts w:ascii="Arial" w:eastAsia="Times New Roman" w:hAnsi="Arial" w:cs="Arial"/>
            <w:color w:val="00905A"/>
            <w:u w:val="single"/>
          </w:rPr>
          <w:t>Barbolla</w:t>
        </w:r>
        <w:proofErr w:type="spellEnd"/>
        <w:r w:rsidRPr="003765D3">
          <w:rPr>
            <w:rFonts w:ascii="Arial" w:eastAsia="Times New Roman" w:hAnsi="Arial" w:cs="Arial"/>
            <w:color w:val="00905A"/>
            <w:u w:val="single"/>
          </w:rPr>
          <w:t xml:space="preserve"> L, Nieto S, Llamas P, et al. Severe immune </w:t>
        </w:r>
        <w:proofErr w:type="spellStart"/>
        <w:r w:rsidRPr="003765D3">
          <w:rPr>
            <w:rFonts w:ascii="Arial" w:eastAsia="Times New Roman" w:hAnsi="Arial" w:cs="Arial"/>
            <w:color w:val="00905A"/>
            <w:u w:val="single"/>
          </w:rPr>
          <w:t>haemolytic</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anaemia</w:t>
        </w:r>
        <w:proofErr w:type="spellEnd"/>
        <w:r w:rsidRPr="003765D3">
          <w:rPr>
            <w:rFonts w:ascii="Arial" w:eastAsia="Times New Roman" w:hAnsi="Arial" w:cs="Arial"/>
            <w:color w:val="00905A"/>
            <w:u w:val="single"/>
          </w:rPr>
          <w:t xml:space="preserve"> caused by intravenous immunoglobulin anti-D in the treatment of autoimmune thrombocytopenia. </w:t>
        </w:r>
        <w:proofErr w:type="spellStart"/>
        <w:r w:rsidRPr="003765D3">
          <w:rPr>
            <w:rFonts w:ascii="Arial" w:eastAsia="Times New Roman" w:hAnsi="Arial" w:cs="Arial"/>
            <w:color w:val="00905A"/>
            <w:u w:val="single"/>
          </w:rPr>
          <w:t>Vox</w:t>
        </w:r>
        <w:proofErr w:type="spellEnd"/>
        <w:r w:rsidRPr="003765D3">
          <w:rPr>
            <w:rFonts w:ascii="Arial" w:eastAsia="Times New Roman" w:hAnsi="Arial" w:cs="Arial"/>
            <w:color w:val="00905A"/>
            <w:u w:val="single"/>
          </w:rPr>
          <w:t xml:space="preserve"> Sang 1993; 64:184.</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37" w:history="1">
        <w:r w:rsidRPr="003765D3">
          <w:rPr>
            <w:rFonts w:ascii="Arial" w:eastAsia="Times New Roman" w:hAnsi="Arial" w:cs="Arial"/>
            <w:color w:val="00905A"/>
            <w:u w:val="single"/>
          </w:rPr>
          <w:t xml:space="preserve">Hong F, Ruiz R, Price H, et al. Safety profile of </w:t>
        </w:r>
        <w:proofErr w:type="spellStart"/>
        <w:r w:rsidRPr="003765D3">
          <w:rPr>
            <w:rFonts w:ascii="Arial" w:eastAsia="Times New Roman" w:hAnsi="Arial" w:cs="Arial"/>
            <w:color w:val="00905A"/>
            <w:u w:val="single"/>
          </w:rPr>
          <w:t>WinRho</w:t>
        </w:r>
        <w:proofErr w:type="spellEnd"/>
        <w:r w:rsidRPr="003765D3">
          <w:rPr>
            <w:rFonts w:ascii="Arial" w:eastAsia="Times New Roman" w:hAnsi="Arial" w:cs="Arial"/>
            <w:color w:val="00905A"/>
            <w:u w:val="single"/>
          </w:rPr>
          <w:t xml:space="preserve"> anti-D. </w:t>
        </w:r>
        <w:proofErr w:type="spellStart"/>
        <w:r w:rsidRPr="003765D3">
          <w:rPr>
            <w:rFonts w:ascii="Arial" w:eastAsia="Times New Roman" w:hAnsi="Arial" w:cs="Arial"/>
            <w:color w:val="00905A"/>
            <w:u w:val="single"/>
          </w:rPr>
          <w:t>Semin</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Hematol</w:t>
        </w:r>
        <w:proofErr w:type="spellEnd"/>
        <w:r w:rsidRPr="003765D3">
          <w:rPr>
            <w:rFonts w:ascii="Arial" w:eastAsia="Times New Roman" w:hAnsi="Arial" w:cs="Arial"/>
            <w:color w:val="00905A"/>
            <w:u w:val="single"/>
          </w:rPr>
          <w:t xml:space="preserve"> 1998; 35:9.</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38" w:history="1">
        <w:r w:rsidRPr="003765D3">
          <w:rPr>
            <w:rFonts w:ascii="Arial" w:eastAsia="Times New Roman" w:hAnsi="Arial" w:cs="Arial"/>
            <w:color w:val="00905A"/>
            <w:u w:val="single"/>
          </w:rPr>
          <w:t xml:space="preserve">Gaines AR. Acute onset </w:t>
        </w:r>
        <w:proofErr w:type="spellStart"/>
        <w:r w:rsidRPr="003765D3">
          <w:rPr>
            <w:rFonts w:ascii="Arial" w:eastAsia="Times New Roman" w:hAnsi="Arial" w:cs="Arial"/>
            <w:color w:val="00905A"/>
            <w:u w:val="single"/>
          </w:rPr>
          <w:t>hemoglobinemia</w:t>
        </w:r>
        <w:proofErr w:type="spellEnd"/>
        <w:r w:rsidRPr="003765D3">
          <w:rPr>
            <w:rFonts w:ascii="Arial" w:eastAsia="Times New Roman" w:hAnsi="Arial" w:cs="Arial"/>
            <w:color w:val="00905A"/>
            <w:u w:val="single"/>
          </w:rPr>
          <w:t xml:space="preserve"> and/or hemoglobinuria and sequelae following </w:t>
        </w:r>
        <w:proofErr w:type="gramStart"/>
        <w:r w:rsidRPr="003765D3">
          <w:rPr>
            <w:rFonts w:ascii="Arial" w:eastAsia="Times New Roman" w:hAnsi="Arial" w:cs="Arial"/>
            <w:color w:val="00905A"/>
            <w:u w:val="single"/>
          </w:rPr>
          <w:t>Rh(</w:t>
        </w:r>
        <w:proofErr w:type="gramEnd"/>
        <w:r w:rsidRPr="003765D3">
          <w:rPr>
            <w:rFonts w:ascii="Arial" w:eastAsia="Times New Roman" w:hAnsi="Arial" w:cs="Arial"/>
            <w:color w:val="00905A"/>
            <w:u w:val="single"/>
          </w:rPr>
          <w:t>o)(D) immune globulin intravenous administration in immune thrombocytopenic purpura patients. Blood 2000; 95:2523.</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39" w:history="1">
        <w:r w:rsidRPr="003765D3">
          <w:rPr>
            <w:rFonts w:ascii="Arial" w:eastAsia="Times New Roman" w:hAnsi="Arial" w:cs="Arial"/>
            <w:color w:val="00905A"/>
            <w:u w:val="single"/>
          </w:rPr>
          <w:t xml:space="preserve">Tarantino MD, </w:t>
        </w:r>
        <w:proofErr w:type="spellStart"/>
        <w:r w:rsidRPr="003765D3">
          <w:rPr>
            <w:rFonts w:ascii="Arial" w:eastAsia="Times New Roman" w:hAnsi="Arial" w:cs="Arial"/>
            <w:color w:val="00905A"/>
            <w:u w:val="single"/>
          </w:rPr>
          <w:t>Bussel</w:t>
        </w:r>
        <w:proofErr w:type="spellEnd"/>
        <w:r w:rsidRPr="003765D3">
          <w:rPr>
            <w:rFonts w:ascii="Arial" w:eastAsia="Times New Roman" w:hAnsi="Arial" w:cs="Arial"/>
            <w:color w:val="00905A"/>
            <w:u w:val="single"/>
          </w:rPr>
          <w:t xml:space="preserve"> JB, Cines DB, et al. A closer look at intravascular hemolysis (IVH) following intravenous anti-D for immune thrombocytopenic purpura (ITP). Blood 2007; 109:5527; author reply 5528.</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40" w:history="1">
        <w:r w:rsidRPr="003765D3">
          <w:rPr>
            <w:rFonts w:ascii="Arial" w:eastAsia="Times New Roman" w:hAnsi="Arial" w:cs="Arial"/>
            <w:color w:val="00905A"/>
            <w:u w:val="single"/>
          </w:rPr>
          <w:t>Gaines AR. Response: Further examination of intravascular hemolysis (IVH) following intravenous anti-D for immune thrombocytopenic purpura (ITP). Blood. 2007; 109:5528.</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41" w:history="1">
        <w:proofErr w:type="spellStart"/>
        <w:r w:rsidRPr="003765D3">
          <w:rPr>
            <w:rFonts w:ascii="Arial" w:eastAsia="Times New Roman" w:hAnsi="Arial" w:cs="Arial"/>
            <w:color w:val="00905A"/>
            <w:u w:val="single"/>
          </w:rPr>
          <w:t>Garratty</w:t>
        </w:r>
        <w:proofErr w:type="spellEnd"/>
        <w:r w:rsidRPr="003765D3">
          <w:rPr>
            <w:rFonts w:ascii="Arial" w:eastAsia="Times New Roman" w:hAnsi="Arial" w:cs="Arial"/>
            <w:color w:val="00905A"/>
            <w:u w:val="single"/>
          </w:rPr>
          <w:t xml:space="preserve"> G. What is the mechanism for acute hemolysis occurring in some patients after intravenous anti-D therapy for immune thrombocytopenic purpura? Transfusion 2009; 49:1026.</w:t>
        </w:r>
      </w:hyperlink>
    </w:p>
    <w:p w:rsidR="003765D3" w:rsidRPr="003765D3" w:rsidRDefault="003765D3" w:rsidP="003765D3">
      <w:pPr>
        <w:numPr>
          <w:ilvl w:val="0"/>
          <w:numId w:val="1"/>
        </w:numPr>
        <w:wordWrap w:val="0"/>
        <w:spacing w:before="100" w:beforeAutospacing="1" w:after="100" w:afterAutospacing="1" w:line="240" w:lineRule="auto"/>
        <w:rPr>
          <w:rFonts w:ascii="Arial" w:eastAsia="Times New Roman" w:hAnsi="Arial" w:cs="Arial"/>
        </w:rPr>
      </w:pPr>
      <w:r w:rsidRPr="003765D3">
        <w:rPr>
          <w:rFonts w:ascii="Arial" w:eastAsia="Times New Roman" w:hAnsi="Arial" w:cs="Arial"/>
        </w:rPr>
        <w:t>http://www.fda.gov/Safety/MedWatch/SafetyInformation/SafetyAlertsforHumanMedicalProducts/ucm203739.htm (Accessed on March 10, 2010).</w:t>
      </w:r>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42" w:history="1">
        <w:proofErr w:type="spellStart"/>
        <w:r w:rsidRPr="003765D3">
          <w:rPr>
            <w:rFonts w:ascii="Arial" w:eastAsia="Times New Roman" w:hAnsi="Arial" w:cs="Arial"/>
            <w:color w:val="00905A"/>
            <w:u w:val="single"/>
          </w:rPr>
          <w:t>Robak</w:t>
        </w:r>
        <w:proofErr w:type="spellEnd"/>
        <w:r w:rsidRPr="003765D3">
          <w:rPr>
            <w:rFonts w:ascii="Arial" w:eastAsia="Times New Roman" w:hAnsi="Arial" w:cs="Arial"/>
            <w:color w:val="00905A"/>
            <w:u w:val="single"/>
          </w:rPr>
          <w:t xml:space="preserve"> T, </w:t>
        </w:r>
        <w:proofErr w:type="spellStart"/>
        <w:r w:rsidRPr="003765D3">
          <w:rPr>
            <w:rFonts w:ascii="Arial" w:eastAsia="Times New Roman" w:hAnsi="Arial" w:cs="Arial"/>
            <w:color w:val="00905A"/>
            <w:u w:val="single"/>
          </w:rPr>
          <w:t>Windyga</w:t>
        </w:r>
        <w:proofErr w:type="spellEnd"/>
        <w:r w:rsidRPr="003765D3">
          <w:rPr>
            <w:rFonts w:ascii="Arial" w:eastAsia="Times New Roman" w:hAnsi="Arial" w:cs="Arial"/>
            <w:color w:val="00905A"/>
            <w:u w:val="single"/>
          </w:rPr>
          <w:t xml:space="preserve"> J, </w:t>
        </w:r>
        <w:proofErr w:type="spellStart"/>
        <w:r w:rsidRPr="003765D3">
          <w:rPr>
            <w:rFonts w:ascii="Arial" w:eastAsia="Times New Roman" w:hAnsi="Arial" w:cs="Arial"/>
            <w:color w:val="00905A"/>
            <w:u w:val="single"/>
          </w:rPr>
          <w:t>Trelinski</w:t>
        </w:r>
        <w:proofErr w:type="spellEnd"/>
        <w:r w:rsidRPr="003765D3">
          <w:rPr>
            <w:rFonts w:ascii="Arial" w:eastAsia="Times New Roman" w:hAnsi="Arial" w:cs="Arial"/>
            <w:color w:val="00905A"/>
            <w:u w:val="single"/>
          </w:rPr>
          <w:t xml:space="preserve"> J, et al. </w:t>
        </w:r>
        <w:proofErr w:type="spellStart"/>
        <w:r w:rsidRPr="003765D3">
          <w:rPr>
            <w:rFonts w:ascii="Arial" w:eastAsia="Times New Roman" w:hAnsi="Arial" w:cs="Arial"/>
            <w:color w:val="00905A"/>
            <w:u w:val="single"/>
          </w:rPr>
          <w:t>Rozrolimupab</w:t>
        </w:r>
        <w:proofErr w:type="spellEnd"/>
        <w:r w:rsidRPr="003765D3">
          <w:rPr>
            <w:rFonts w:ascii="Arial" w:eastAsia="Times New Roman" w:hAnsi="Arial" w:cs="Arial"/>
            <w:color w:val="00905A"/>
            <w:u w:val="single"/>
          </w:rPr>
          <w:t xml:space="preserve">, a mixture of 25 recombinant human monoclonal </w:t>
        </w:r>
        <w:proofErr w:type="spellStart"/>
        <w:r w:rsidRPr="003765D3">
          <w:rPr>
            <w:rFonts w:ascii="Arial" w:eastAsia="Times New Roman" w:hAnsi="Arial" w:cs="Arial"/>
            <w:color w:val="00905A"/>
            <w:u w:val="single"/>
          </w:rPr>
          <w:t>RhD</w:t>
        </w:r>
        <w:proofErr w:type="spellEnd"/>
        <w:r w:rsidRPr="003765D3">
          <w:rPr>
            <w:rFonts w:ascii="Arial" w:eastAsia="Times New Roman" w:hAnsi="Arial" w:cs="Arial"/>
            <w:color w:val="00905A"/>
            <w:u w:val="single"/>
          </w:rPr>
          <w:t xml:space="preserve"> antibodies, in the treatment of primary immune thrombocytopenia. Blood 2012; 120:3670.</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43" w:history="1">
        <w:r w:rsidRPr="003765D3">
          <w:rPr>
            <w:rFonts w:ascii="Arial" w:eastAsia="Times New Roman" w:hAnsi="Arial" w:cs="Arial"/>
            <w:color w:val="00905A"/>
            <w:u w:val="single"/>
          </w:rPr>
          <w:t xml:space="preserve">Tarantino MD, Fogarty PF, Shah P, </w:t>
        </w:r>
        <w:proofErr w:type="spellStart"/>
        <w:r w:rsidRPr="003765D3">
          <w:rPr>
            <w:rFonts w:ascii="Arial" w:eastAsia="Times New Roman" w:hAnsi="Arial" w:cs="Arial"/>
            <w:color w:val="00905A"/>
            <w:u w:val="single"/>
          </w:rPr>
          <w:t>Brainsky</w:t>
        </w:r>
        <w:proofErr w:type="spellEnd"/>
        <w:r w:rsidRPr="003765D3">
          <w:rPr>
            <w:rFonts w:ascii="Arial" w:eastAsia="Times New Roman" w:hAnsi="Arial" w:cs="Arial"/>
            <w:color w:val="00905A"/>
            <w:u w:val="single"/>
          </w:rPr>
          <w:t xml:space="preserve"> A. Dental procedures in 24 patients with chronic immune thrombocytopenia in prospective clinical studies of </w:t>
        </w:r>
        <w:proofErr w:type="spellStart"/>
        <w:r w:rsidRPr="003765D3">
          <w:rPr>
            <w:rFonts w:ascii="Arial" w:eastAsia="Times New Roman" w:hAnsi="Arial" w:cs="Arial"/>
            <w:color w:val="00905A"/>
            <w:u w:val="single"/>
          </w:rPr>
          <w:t>eltrombopag</w:t>
        </w:r>
        <w:proofErr w:type="spellEnd"/>
        <w:r w:rsidRPr="003765D3">
          <w:rPr>
            <w:rFonts w:ascii="Arial" w:eastAsia="Times New Roman" w:hAnsi="Arial" w:cs="Arial"/>
            <w:color w:val="00905A"/>
            <w:u w:val="single"/>
          </w:rPr>
          <w:t>. Platelets 2015; 26:93.</w:t>
        </w:r>
      </w:hyperlink>
    </w:p>
    <w:p w:rsidR="003765D3" w:rsidRPr="003765D3" w:rsidRDefault="003765D3" w:rsidP="003765D3">
      <w:pPr>
        <w:numPr>
          <w:ilvl w:val="0"/>
          <w:numId w:val="1"/>
        </w:numPr>
        <w:wordWrap w:val="0"/>
        <w:spacing w:before="100" w:beforeAutospacing="1" w:after="100" w:afterAutospacing="1" w:line="240" w:lineRule="auto"/>
        <w:rPr>
          <w:rFonts w:ascii="Arial" w:eastAsia="Times New Roman" w:hAnsi="Arial" w:cs="Arial"/>
        </w:rPr>
      </w:pPr>
      <w:r w:rsidRPr="003765D3">
        <w:rPr>
          <w:rFonts w:ascii="Arial" w:eastAsia="Times New Roman" w:hAnsi="Arial" w:cs="Arial"/>
        </w:rPr>
        <w:t>http://clinicaltrials.gov/show/NCT01621204 (Accessed on May 05, 2014).</w:t>
      </w:r>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44" w:history="1">
        <w:proofErr w:type="spellStart"/>
        <w:r w:rsidRPr="003765D3">
          <w:rPr>
            <w:rFonts w:ascii="Arial" w:eastAsia="Times New Roman" w:hAnsi="Arial" w:cs="Arial"/>
            <w:color w:val="00905A"/>
            <w:u w:val="single"/>
          </w:rPr>
          <w:t>Parameswaran</w:t>
        </w:r>
        <w:proofErr w:type="spellEnd"/>
        <w:r w:rsidRPr="003765D3">
          <w:rPr>
            <w:rFonts w:ascii="Arial" w:eastAsia="Times New Roman" w:hAnsi="Arial" w:cs="Arial"/>
            <w:color w:val="00905A"/>
            <w:u w:val="single"/>
          </w:rPr>
          <w:t xml:space="preserve"> R, </w:t>
        </w:r>
        <w:proofErr w:type="spellStart"/>
        <w:r w:rsidRPr="003765D3">
          <w:rPr>
            <w:rFonts w:ascii="Arial" w:eastAsia="Times New Roman" w:hAnsi="Arial" w:cs="Arial"/>
            <w:color w:val="00905A"/>
            <w:u w:val="single"/>
          </w:rPr>
          <w:t>Lunning</w:t>
        </w:r>
        <w:proofErr w:type="spellEnd"/>
        <w:r w:rsidRPr="003765D3">
          <w:rPr>
            <w:rFonts w:ascii="Arial" w:eastAsia="Times New Roman" w:hAnsi="Arial" w:cs="Arial"/>
            <w:color w:val="00905A"/>
            <w:u w:val="single"/>
          </w:rPr>
          <w:t xml:space="preserve"> M, </w:t>
        </w:r>
        <w:proofErr w:type="spellStart"/>
        <w:r w:rsidRPr="003765D3">
          <w:rPr>
            <w:rFonts w:ascii="Arial" w:eastAsia="Times New Roman" w:hAnsi="Arial" w:cs="Arial"/>
            <w:color w:val="00905A"/>
            <w:u w:val="single"/>
          </w:rPr>
          <w:t>Mantha</w:t>
        </w:r>
        <w:proofErr w:type="spellEnd"/>
        <w:r w:rsidRPr="003765D3">
          <w:rPr>
            <w:rFonts w:ascii="Arial" w:eastAsia="Times New Roman" w:hAnsi="Arial" w:cs="Arial"/>
            <w:color w:val="00905A"/>
            <w:u w:val="single"/>
          </w:rPr>
          <w:t xml:space="preserve"> S, et al. </w:t>
        </w:r>
        <w:proofErr w:type="spellStart"/>
        <w:r w:rsidRPr="003765D3">
          <w:rPr>
            <w:rFonts w:ascii="Arial" w:eastAsia="Times New Roman" w:hAnsi="Arial" w:cs="Arial"/>
            <w:color w:val="00905A"/>
            <w:u w:val="single"/>
          </w:rPr>
          <w:t>Romiplostim</w:t>
        </w:r>
        <w:proofErr w:type="spellEnd"/>
        <w:r w:rsidRPr="003765D3">
          <w:rPr>
            <w:rFonts w:ascii="Arial" w:eastAsia="Times New Roman" w:hAnsi="Arial" w:cs="Arial"/>
            <w:color w:val="00905A"/>
            <w:u w:val="single"/>
          </w:rPr>
          <w:t xml:space="preserve"> for management of chemotherapy-induced thrombocytopenia. Support Care Cancer 2014; 22:1217.</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45" w:history="1">
        <w:r w:rsidRPr="003765D3">
          <w:rPr>
            <w:rFonts w:ascii="Arial" w:eastAsia="Times New Roman" w:hAnsi="Arial" w:cs="Arial"/>
            <w:color w:val="00905A"/>
            <w:u w:val="single"/>
          </w:rPr>
          <w:t xml:space="preserve">Stasi R, </w:t>
        </w:r>
        <w:proofErr w:type="spellStart"/>
        <w:r w:rsidRPr="003765D3">
          <w:rPr>
            <w:rFonts w:ascii="Arial" w:eastAsia="Times New Roman" w:hAnsi="Arial" w:cs="Arial"/>
            <w:color w:val="00905A"/>
            <w:u w:val="single"/>
          </w:rPr>
          <w:t>Sarpatwari</w:t>
        </w:r>
        <w:proofErr w:type="spellEnd"/>
        <w:r w:rsidRPr="003765D3">
          <w:rPr>
            <w:rFonts w:ascii="Arial" w:eastAsia="Times New Roman" w:hAnsi="Arial" w:cs="Arial"/>
            <w:color w:val="00905A"/>
            <w:u w:val="single"/>
          </w:rPr>
          <w:t xml:space="preserve"> A, Segal JB, et al. Effects of eradication of Helicobacter pylori infection in patients with immune thrombocytopenic purpura: a systematic review. Blood 2009; 113:1231.</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46" w:history="1">
        <w:r w:rsidRPr="003765D3">
          <w:rPr>
            <w:rFonts w:ascii="Arial" w:eastAsia="Times New Roman" w:hAnsi="Arial" w:cs="Arial"/>
            <w:color w:val="00905A"/>
            <w:u w:val="single"/>
          </w:rPr>
          <w:t xml:space="preserve">Arnold DM, Stasi R. Does Helicobacter pylori eradication therapy result in a platelet count improvement in adults with immune thrombocytopenic purpura regardless of H pylori infection? ASH evidence-based review 2008. Hematology Am </w:t>
        </w:r>
        <w:proofErr w:type="spellStart"/>
        <w:r w:rsidRPr="003765D3">
          <w:rPr>
            <w:rFonts w:ascii="Arial" w:eastAsia="Times New Roman" w:hAnsi="Arial" w:cs="Arial"/>
            <w:color w:val="00905A"/>
            <w:u w:val="single"/>
          </w:rPr>
          <w:t>Soc</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Hematol</w:t>
        </w:r>
        <w:proofErr w:type="spellEnd"/>
        <w:r w:rsidRPr="003765D3">
          <w:rPr>
            <w:rFonts w:ascii="Arial" w:eastAsia="Times New Roman" w:hAnsi="Arial" w:cs="Arial"/>
            <w:color w:val="00905A"/>
            <w:u w:val="single"/>
          </w:rPr>
          <w:t xml:space="preserve"> </w:t>
        </w:r>
        <w:proofErr w:type="spellStart"/>
        <w:r w:rsidRPr="003765D3">
          <w:rPr>
            <w:rFonts w:ascii="Arial" w:eastAsia="Times New Roman" w:hAnsi="Arial" w:cs="Arial"/>
            <w:color w:val="00905A"/>
            <w:u w:val="single"/>
          </w:rPr>
          <w:t>Educ</w:t>
        </w:r>
        <w:proofErr w:type="spellEnd"/>
        <w:r w:rsidRPr="003765D3">
          <w:rPr>
            <w:rFonts w:ascii="Arial" w:eastAsia="Times New Roman" w:hAnsi="Arial" w:cs="Arial"/>
            <w:color w:val="00905A"/>
            <w:u w:val="single"/>
          </w:rPr>
          <w:t xml:space="preserve"> Program 2008</w:t>
        </w:r>
        <w:proofErr w:type="gramStart"/>
        <w:r w:rsidRPr="003765D3">
          <w:rPr>
            <w:rFonts w:ascii="Arial" w:eastAsia="Times New Roman" w:hAnsi="Arial" w:cs="Arial"/>
            <w:color w:val="00905A"/>
            <w:u w:val="single"/>
          </w:rPr>
          <w:t>; :</w:t>
        </w:r>
        <w:proofErr w:type="gramEnd"/>
        <w:r w:rsidRPr="003765D3">
          <w:rPr>
            <w:rFonts w:ascii="Arial" w:eastAsia="Times New Roman" w:hAnsi="Arial" w:cs="Arial"/>
            <w:color w:val="00905A"/>
            <w:u w:val="single"/>
          </w:rPr>
          <w:t>31.</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47" w:history="1">
        <w:proofErr w:type="spellStart"/>
        <w:r w:rsidRPr="003765D3">
          <w:rPr>
            <w:rFonts w:ascii="Arial" w:eastAsia="Times New Roman" w:hAnsi="Arial" w:cs="Arial"/>
            <w:color w:val="00905A"/>
            <w:u w:val="single"/>
          </w:rPr>
          <w:t>Rostami</w:t>
        </w:r>
        <w:proofErr w:type="spellEnd"/>
        <w:r w:rsidRPr="003765D3">
          <w:rPr>
            <w:rFonts w:ascii="Arial" w:eastAsia="Times New Roman" w:hAnsi="Arial" w:cs="Arial"/>
            <w:color w:val="00905A"/>
            <w:u w:val="single"/>
          </w:rPr>
          <w:t xml:space="preserve"> N, </w:t>
        </w:r>
        <w:proofErr w:type="spellStart"/>
        <w:r w:rsidRPr="003765D3">
          <w:rPr>
            <w:rFonts w:ascii="Arial" w:eastAsia="Times New Roman" w:hAnsi="Arial" w:cs="Arial"/>
            <w:color w:val="00905A"/>
            <w:u w:val="single"/>
          </w:rPr>
          <w:t>Keshtkar-Jahromi</w:t>
        </w:r>
        <w:proofErr w:type="spellEnd"/>
        <w:r w:rsidRPr="003765D3">
          <w:rPr>
            <w:rFonts w:ascii="Arial" w:eastAsia="Times New Roman" w:hAnsi="Arial" w:cs="Arial"/>
            <w:color w:val="00905A"/>
            <w:u w:val="single"/>
          </w:rPr>
          <w:t xml:space="preserve"> M, </w:t>
        </w:r>
        <w:proofErr w:type="spellStart"/>
        <w:r w:rsidRPr="003765D3">
          <w:rPr>
            <w:rFonts w:ascii="Arial" w:eastAsia="Times New Roman" w:hAnsi="Arial" w:cs="Arial"/>
            <w:color w:val="00905A"/>
            <w:u w:val="single"/>
          </w:rPr>
          <w:t>Rahnavardi</w:t>
        </w:r>
        <w:proofErr w:type="spellEnd"/>
        <w:r w:rsidRPr="003765D3">
          <w:rPr>
            <w:rFonts w:ascii="Arial" w:eastAsia="Times New Roman" w:hAnsi="Arial" w:cs="Arial"/>
            <w:color w:val="00905A"/>
            <w:u w:val="single"/>
          </w:rPr>
          <w:t xml:space="preserve"> M, et al. Effect of eradication of Helicobacter pylori on platelet recovery in patients with chronic idiopathic thrombocytopenic purpura: a controlled trial. Am J </w:t>
        </w:r>
        <w:proofErr w:type="spellStart"/>
        <w:r w:rsidRPr="003765D3">
          <w:rPr>
            <w:rFonts w:ascii="Arial" w:eastAsia="Times New Roman" w:hAnsi="Arial" w:cs="Arial"/>
            <w:color w:val="00905A"/>
            <w:u w:val="single"/>
          </w:rPr>
          <w:t>Hematol</w:t>
        </w:r>
        <w:proofErr w:type="spellEnd"/>
        <w:r w:rsidRPr="003765D3">
          <w:rPr>
            <w:rFonts w:ascii="Arial" w:eastAsia="Times New Roman" w:hAnsi="Arial" w:cs="Arial"/>
            <w:color w:val="00905A"/>
            <w:u w:val="single"/>
          </w:rPr>
          <w:t xml:space="preserve"> 2008; </w:t>
        </w:r>
        <w:proofErr w:type="gramStart"/>
        <w:r w:rsidRPr="003765D3">
          <w:rPr>
            <w:rFonts w:ascii="Arial" w:eastAsia="Times New Roman" w:hAnsi="Arial" w:cs="Arial"/>
            <w:color w:val="00905A"/>
            <w:u w:val="single"/>
          </w:rPr>
          <w:t>83:376.</w:t>
        </w:r>
        <w:proofErr w:type="gramEnd"/>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48" w:history="1">
        <w:r w:rsidRPr="003765D3">
          <w:rPr>
            <w:rFonts w:ascii="Arial" w:eastAsia="Times New Roman" w:hAnsi="Arial" w:cs="Arial"/>
            <w:color w:val="00905A"/>
            <w:u w:val="single"/>
          </w:rPr>
          <w:t xml:space="preserve">Suzuki T, Matsushima M, Masui A, et al. Effect of Helicobacter pylori eradication in patients with chronic idiopathic thrombocytopenic purpura-a randomized controlled trial. Am J </w:t>
        </w:r>
        <w:proofErr w:type="spellStart"/>
        <w:r w:rsidRPr="003765D3">
          <w:rPr>
            <w:rFonts w:ascii="Arial" w:eastAsia="Times New Roman" w:hAnsi="Arial" w:cs="Arial"/>
            <w:color w:val="00905A"/>
            <w:u w:val="single"/>
          </w:rPr>
          <w:t>Gastroenterol</w:t>
        </w:r>
        <w:proofErr w:type="spellEnd"/>
        <w:r w:rsidRPr="003765D3">
          <w:rPr>
            <w:rFonts w:ascii="Arial" w:eastAsia="Times New Roman" w:hAnsi="Arial" w:cs="Arial"/>
            <w:color w:val="00905A"/>
            <w:u w:val="single"/>
          </w:rPr>
          <w:t xml:space="preserve"> 2005; </w:t>
        </w:r>
        <w:proofErr w:type="gramStart"/>
        <w:r w:rsidRPr="003765D3">
          <w:rPr>
            <w:rFonts w:ascii="Arial" w:eastAsia="Times New Roman" w:hAnsi="Arial" w:cs="Arial"/>
            <w:color w:val="00905A"/>
            <w:u w:val="single"/>
          </w:rPr>
          <w:t>100:1265.</w:t>
        </w:r>
        <w:proofErr w:type="gramEnd"/>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49" w:history="1">
        <w:r w:rsidRPr="003765D3">
          <w:rPr>
            <w:rFonts w:ascii="Arial" w:eastAsia="Times New Roman" w:hAnsi="Arial" w:cs="Arial"/>
            <w:color w:val="00905A"/>
            <w:u w:val="single"/>
          </w:rPr>
          <w:t xml:space="preserve">McMillan R, </w:t>
        </w:r>
        <w:proofErr w:type="spellStart"/>
        <w:r w:rsidRPr="003765D3">
          <w:rPr>
            <w:rFonts w:ascii="Arial" w:eastAsia="Times New Roman" w:hAnsi="Arial" w:cs="Arial"/>
            <w:color w:val="00905A"/>
            <w:u w:val="single"/>
          </w:rPr>
          <w:t>Durette</w:t>
        </w:r>
        <w:proofErr w:type="spellEnd"/>
        <w:r w:rsidRPr="003765D3">
          <w:rPr>
            <w:rFonts w:ascii="Arial" w:eastAsia="Times New Roman" w:hAnsi="Arial" w:cs="Arial"/>
            <w:color w:val="00905A"/>
            <w:u w:val="single"/>
          </w:rPr>
          <w:t xml:space="preserve"> C. Long-term outcomes in adults with chronic ITP after splenectomy failure. Blood 2004; 104:956.</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50" w:history="1">
        <w:r w:rsidRPr="003765D3">
          <w:rPr>
            <w:rFonts w:ascii="Arial" w:eastAsia="Times New Roman" w:hAnsi="Arial" w:cs="Arial"/>
            <w:color w:val="00905A"/>
            <w:u w:val="single"/>
          </w:rPr>
          <w:t xml:space="preserve">Bourgeois E, </w:t>
        </w:r>
        <w:proofErr w:type="spellStart"/>
        <w:r w:rsidRPr="003765D3">
          <w:rPr>
            <w:rFonts w:ascii="Arial" w:eastAsia="Times New Roman" w:hAnsi="Arial" w:cs="Arial"/>
            <w:color w:val="00905A"/>
            <w:u w:val="single"/>
          </w:rPr>
          <w:t>Caulier</w:t>
        </w:r>
        <w:proofErr w:type="spellEnd"/>
        <w:r w:rsidRPr="003765D3">
          <w:rPr>
            <w:rFonts w:ascii="Arial" w:eastAsia="Times New Roman" w:hAnsi="Arial" w:cs="Arial"/>
            <w:color w:val="00905A"/>
            <w:u w:val="single"/>
          </w:rPr>
          <w:t xml:space="preserve"> MT, </w:t>
        </w:r>
        <w:proofErr w:type="spellStart"/>
        <w:r w:rsidRPr="003765D3">
          <w:rPr>
            <w:rFonts w:ascii="Arial" w:eastAsia="Times New Roman" w:hAnsi="Arial" w:cs="Arial"/>
            <w:color w:val="00905A"/>
            <w:u w:val="single"/>
          </w:rPr>
          <w:t>Delarozee</w:t>
        </w:r>
        <w:proofErr w:type="spellEnd"/>
        <w:r w:rsidRPr="003765D3">
          <w:rPr>
            <w:rFonts w:ascii="Arial" w:eastAsia="Times New Roman" w:hAnsi="Arial" w:cs="Arial"/>
            <w:color w:val="00905A"/>
            <w:u w:val="single"/>
          </w:rPr>
          <w:t xml:space="preserve"> C, et al. Long-term follow-up of chronic autoimmune thrombocytopenic purpura refractory to splenectomy: a prospective analysis. Br J </w:t>
        </w:r>
        <w:proofErr w:type="spellStart"/>
        <w:r w:rsidRPr="003765D3">
          <w:rPr>
            <w:rFonts w:ascii="Arial" w:eastAsia="Times New Roman" w:hAnsi="Arial" w:cs="Arial"/>
            <w:color w:val="00905A"/>
            <w:u w:val="single"/>
          </w:rPr>
          <w:t>Haematol</w:t>
        </w:r>
        <w:proofErr w:type="spellEnd"/>
        <w:r w:rsidRPr="003765D3">
          <w:rPr>
            <w:rFonts w:ascii="Arial" w:eastAsia="Times New Roman" w:hAnsi="Arial" w:cs="Arial"/>
            <w:color w:val="00905A"/>
            <w:u w:val="single"/>
          </w:rPr>
          <w:t xml:space="preserve"> 2003; 120:1079.</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51" w:history="1">
        <w:proofErr w:type="spellStart"/>
        <w:r w:rsidRPr="003765D3">
          <w:rPr>
            <w:rFonts w:ascii="Arial" w:eastAsia="Times New Roman" w:hAnsi="Arial" w:cs="Arial"/>
            <w:color w:val="00905A"/>
            <w:u w:val="single"/>
          </w:rPr>
          <w:t>Vianelli</w:t>
        </w:r>
        <w:proofErr w:type="spellEnd"/>
        <w:r w:rsidRPr="003765D3">
          <w:rPr>
            <w:rFonts w:ascii="Arial" w:eastAsia="Times New Roman" w:hAnsi="Arial" w:cs="Arial"/>
            <w:color w:val="00905A"/>
            <w:u w:val="single"/>
          </w:rPr>
          <w:t xml:space="preserve"> N, </w:t>
        </w:r>
        <w:proofErr w:type="spellStart"/>
        <w:r w:rsidRPr="003765D3">
          <w:rPr>
            <w:rFonts w:ascii="Arial" w:eastAsia="Times New Roman" w:hAnsi="Arial" w:cs="Arial"/>
            <w:color w:val="00905A"/>
            <w:u w:val="single"/>
          </w:rPr>
          <w:t>Valdrè</w:t>
        </w:r>
        <w:proofErr w:type="spellEnd"/>
        <w:r w:rsidRPr="003765D3">
          <w:rPr>
            <w:rFonts w:ascii="Arial" w:eastAsia="Times New Roman" w:hAnsi="Arial" w:cs="Arial"/>
            <w:color w:val="00905A"/>
            <w:u w:val="single"/>
          </w:rPr>
          <w:t xml:space="preserve"> L, </w:t>
        </w:r>
        <w:proofErr w:type="spellStart"/>
        <w:r w:rsidRPr="003765D3">
          <w:rPr>
            <w:rFonts w:ascii="Arial" w:eastAsia="Times New Roman" w:hAnsi="Arial" w:cs="Arial"/>
            <w:color w:val="00905A"/>
            <w:u w:val="single"/>
          </w:rPr>
          <w:t>Fiacchini</w:t>
        </w:r>
        <w:proofErr w:type="spellEnd"/>
        <w:r w:rsidRPr="003765D3">
          <w:rPr>
            <w:rFonts w:ascii="Arial" w:eastAsia="Times New Roman" w:hAnsi="Arial" w:cs="Arial"/>
            <w:color w:val="00905A"/>
            <w:u w:val="single"/>
          </w:rPr>
          <w:t xml:space="preserve"> M, et al. Long-term follow-up of idiopathic thrombocytopenic purpura in 310 patients. </w:t>
        </w:r>
        <w:proofErr w:type="spellStart"/>
        <w:r w:rsidRPr="003765D3">
          <w:rPr>
            <w:rFonts w:ascii="Arial" w:eastAsia="Times New Roman" w:hAnsi="Arial" w:cs="Arial"/>
            <w:color w:val="00905A"/>
            <w:u w:val="single"/>
          </w:rPr>
          <w:t>Haematologica</w:t>
        </w:r>
        <w:proofErr w:type="spellEnd"/>
        <w:r w:rsidRPr="003765D3">
          <w:rPr>
            <w:rFonts w:ascii="Arial" w:eastAsia="Times New Roman" w:hAnsi="Arial" w:cs="Arial"/>
            <w:color w:val="00905A"/>
            <w:u w:val="single"/>
          </w:rPr>
          <w:t xml:space="preserve"> 2001; 86:504.</w:t>
        </w:r>
      </w:hyperlink>
    </w:p>
    <w:p w:rsidR="003765D3" w:rsidRPr="003765D3" w:rsidRDefault="003765D3" w:rsidP="003765D3">
      <w:pPr>
        <w:numPr>
          <w:ilvl w:val="0"/>
          <w:numId w:val="1"/>
        </w:numPr>
        <w:spacing w:before="100" w:beforeAutospacing="1" w:after="100" w:afterAutospacing="1" w:line="240" w:lineRule="auto"/>
        <w:rPr>
          <w:rFonts w:ascii="Arial" w:eastAsia="Times New Roman" w:hAnsi="Arial" w:cs="Arial"/>
        </w:rPr>
      </w:pPr>
      <w:hyperlink r:id="rId252" w:history="1">
        <w:r w:rsidRPr="003765D3">
          <w:rPr>
            <w:rFonts w:ascii="Arial" w:eastAsia="Times New Roman" w:hAnsi="Arial" w:cs="Arial"/>
            <w:color w:val="00905A"/>
            <w:u w:val="single"/>
          </w:rPr>
          <w:t xml:space="preserve">Cohen YC, </w:t>
        </w:r>
        <w:proofErr w:type="spellStart"/>
        <w:r w:rsidRPr="003765D3">
          <w:rPr>
            <w:rFonts w:ascii="Arial" w:eastAsia="Times New Roman" w:hAnsi="Arial" w:cs="Arial"/>
            <w:color w:val="00905A"/>
            <w:u w:val="single"/>
          </w:rPr>
          <w:t>Djulbegovic</w:t>
        </w:r>
        <w:proofErr w:type="spellEnd"/>
        <w:r w:rsidRPr="003765D3">
          <w:rPr>
            <w:rFonts w:ascii="Arial" w:eastAsia="Times New Roman" w:hAnsi="Arial" w:cs="Arial"/>
            <w:color w:val="00905A"/>
            <w:u w:val="single"/>
          </w:rPr>
          <w:t xml:space="preserve"> B, </w:t>
        </w:r>
        <w:proofErr w:type="spellStart"/>
        <w:r w:rsidRPr="003765D3">
          <w:rPr>
            <w:rFonts w:ascii="Arial" w:eastAsia="Times New Roman" w:hAnsi="Arial" w:cs="Arial"/>
            <w:color w:val="00905A"/>
            <w:u w:val="single"/>
          </w:rPr>
          <w:t>Shamai-Lubovitz</w:t>
        </w:r>
        <w:proofErr w:type="spellEnd"/>
        <w:r w:rsidRPr="003765D3">
          <w:rPr>
            <w:rFonts w:ascii="Arial" w:eastAsia="Times New Roman" w:hAnsi="Arial" w:cs="Arial"/>
            <w:color w:val="00905A"/>
            <w:u w:val="single"/>
          </w:rPr>
          <w:t xml:space="preserve"> O, </w:t>
        </w:r>
        <w:proofErr w:type="spellStart"/>
        <w:r w:rsidRPr="003765D3">
          <w:rPr>
            <w:rFonts w:ascii="Arial" w:eastAsia="Times New Roman" w:hAnsi="Arial" w:cs="Arial"/>
            <w:color w:val="00905A"/>
            <w:u w:val="single"/>
          </w:rPr>
          <w:t>Mozes</w:t>
        </w:r>
        <w:proofErr w:type="spellEnd"/>
        <w:r w:rsidRPr="003765D3">
          <w:rPr>
            <w:rFonts w:ascii="Arial" w:eastAsia="Times New Roman" w:hAnsi="Arial" w:cs="Arial"/>
            <w:color w:val="00905A"/>
            <w:u w:val="single"/>
          </w:rPr>
          <w:t xml:space="preserve"> B. The bleeding risk and natural history of idiopathic thrombocytopenic purpura in patients with persistent low platelet counts. Arch Intern Med 2000; 160:1630.</w:t>
        </w:r>
      </w:hyperlink>
    </w:p>
    <w:p w:rsidR="003765D3" w:rsidRPr="003765D3" w:rsidRDefault="003765D3" w:rsidP="003765D3">
      <w:pPr>
        <w:spacing w:line="240" w:lineRule="auto"/>
        <w:rPr>
          <w:rFonts w:ascii="Arial" w:eastAsia="Times New Roman" w:hAnsi="Arial" w:cs="Arial"/>
        </w:rPr>
      </w:pPr>
      <w:r w:rsidRPr="003765D3">
        <w:rPr>
          <w:rFonts w:ascii="Arial" w:eastAsia="Times New Roman" w:hAnsi="Arial" w:cs="Arial"/>
        </w:rPr>
        <w:t>Topic 6677 Version 44.0</w:t>
      </w:r>
    </w:p>
    <w:p w:rsidR="003765D3" w:rsidRPr="003765D3" w:rsidRDefault="003765D3" w:rsidP="003765D3">
      <w:pPr>
        <w:shd w:val="clear" w:color="auto" w:fill="FFFEB8"/>
        <w:spacing w:after="0" w:line="240" w:lineRule="auto"/>
        <w:rPr>
          <w:rFonts w:ascii="Arial" w:eastAsia="Times New Roman" w:hAnsi="Arial" w:cs="Arial"/>
          <w:b/>
          <w:bCs/>
          <w:sz w:val="18"/>
          <w:szCs w:val="18"/>
        </w:rPr>
      </w:pPr>
      <w:hyperlink r:id="rId253" w:history="1">
        <w:r w:rsidRPr="003765D3">
          <w:rPr>
            <w:rFonts w:ascii="Arial" w:eastAsia="Times New Roman" w:hAnsi="Arial" w:cs="Arial"/>
            <w:b/>
            <w:bCs/>
            <w:color w:val="333333"/>
            <w:sz w:val="17"/>
            <w:szCs w:val="17"/>
            <w:u w:val="single"/>
          </w:rPr>
          <w:t>Close</w:t>
        </w:r>
      </w:hyperlink>
    </w:p>
    <w:p w:rsidR="003765D3" w:rsidRPr="003765D3" w:rsidRDefault="003765D3" w:rsidP="003765D3">
      <w:pPr>
        <w:numPr>
          <w:ilvl w:val="0"/>
          <w:numId w:val="2"/>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54" w:history="1">
        <w:r w:rsidRPr="003765D3">
          <w:rPr>
            <w:rFonts w:ascii="Helvetica" w:eastAsia="Times New Roman" w:hAnsi="Helvetica" w:cs="Helvetica"/>
            <w:color w:val="0000FF"/>
            <w:sz w:val="16"/>
            <w:szCs w:val="16"/>
            <w:u w:val="single"/>
          </w:rPr>
          <w:t>Subscription and License Agreement</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lastRenderedPageBreak/>
        <w:t> </w:t>
      </w:r>
    </w:p>
    <w:p w:rsidR="003765D3" w:rsidRPr="003765D3" w:rsidRDefault="003765D3" w:rsidP="003765D3">
      <w:pPr>
        <w:numPr>
          <w:ilvl w:val="0"/>
          <w:numId w:val="2"/>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55" w:tgtFrame="_blank" w:history="1">
        <w:r w:rsidRPr="003765D3">
          <w:rPr>
            <w:rFonts w:ascii="Helvetica" w:eastAsia="Times New Roman" w:hAnsi="Helvetica" w:cs="Helvetica"/>
            <w:color w:val="0000FF"/>
            <w:sz w:val="16"/>
            <w:szCs w:val="16"/>
            <w:u w:val="single"/>
          </w:rPr>
          <w:t>Policies</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2"/>
        </w:numPr>
        <w:spacing w:before="100" w:beforeAutospacing="1" w:after="100" w:afterAutospacing="1" w:line="240" w:lineRule="auto"/>
        <w:ind w:left="0"/>
        <w:textAlignment w:val="top"/>
        <w:rPr>
          <w:rFonts w:ascii="Helvetica" w:eastAsia="Times New Roman" w:hAnsi="Helvetica" w:cs="Helvetica"/>
          <w:color w:val="000000"/>
          <w:sz w:val="16"/>
          <w:szCs w:val="16"/>
        </w:rPr>
      </w:pPr>
      <w:r w:rsidRPr="003765D3">
        <w:rPr>
          <w:rFonts w:ascii="Helvetica" w:eastAsia="Times New Roman" w:hAnsi="Helvetica" w:cs="Helvetica"/>
          <w:color w:val="000000"/>
          <w:sz w:val="16"/>
          <w:szCs w:val="16"/>
        </w:rPr>
        <w:t>Support Tag</w:t>
      </w:r>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2"/>
        </w:numPr>
        <w:spacing w:before="100" w:beforeAutospacing="1" w:after="100" w:afterAutospacing="1" w:line="240" w:lineRule="auto"/>
        <w:ind w:left="0"/>
        <w:textAlignment w:val="top"/>
        <w:rPr>
          <w:rFonts w:ascii="Helvetica" w:eastAsia="Times New Roman" w:hAnsi="Helvetica" w:cs="Helvetica"/>
          <w:color w:val="000000"/>
          <w:sz w:val="16"/>
          <w:szCs w:val="16"/>
        </w:rPr>
      </w:pPr>
    </w:p>
    <w:p w:rsidR="003765D3" w:rsidRPr="003765D3" w:rsidRDefault="003765D3" w:rsidP="003765D3">
      <w:pPr>
        <w:spacing w:before="100" w:beforeAutospacing="1" w:after="100" w:afterAutospacing="1" w:line="240" w:lineRule="auto"/>
        <w:outlineLvl w:val="4"/>
        <w:rPr>
          <w:rFonts w:ascii="Helvetica" w:eastAsia="Times New Roman" w:hAnsi="Helvetica" w:cs="Helvetica"/>
          <w:b/>
          <w:bCs/>
          <w:color w:val="000000"/>
          <w:sz w:val="20"/>
          <w:szCs w:val="20"/>
        </w:rPr>
      </w:pPr>
      <w:r w:rsidRPr="003765D3">
        <w:rPr>
          <w:rFonts w:ascii="Helvetica" w:eastAsia="Times New Roman" w:hAnsi="Helvetica" w:cs="Helvetica"/>
          <w:b/>
          <w:bCs/>
          <w:color w:val="000000"/>
          <w:sz w:val="20"/>
          <w:szCs w:val="20"/>
        </w:rPr>
        <w:t>Using UpToDate</w:t>
      </w:r>
    </w:p>
    <w:p w:rsidR="003765D3" w:rsidRPr="003765D3" w:rsidRDefault="003765D3" w:rsidP="003765D3">
      <w:pPr>
        <w:numPr>
          <w:ilvl w:val="0"/>
          <w:numId w:val="3"/>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56" w:tgtFrame="_blank" w:history="1">
        <w:r w:rsidRPr="003765D3">
          <w:rPr>
            <w:rFonts w:ascii="Helvetica" w:eastAsia="Times New Roman" w:hAnsi="Helvetica" w:cs="Helvetica"/>
            <w:b/>
            <w:bCs/>
            <w:color w:val="0000FF"/>
            <w:sz w:val="16"/>
            <w:szCs w:val="16"/>
            <w:u w:val="single"/>
          </w:rPr>
          <w:t>Contact Us</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3"/>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57" w:tgtFrame="_blank" w:history="1">
        <w:r w:rsidRPr="003765D3">
          <w:rPr>
            <w:rFonts w:ascii="Helvetica" w:eastAsia="Times New Roman" w:hAnsi="Helvetica" w:cs="Helvetica"/>
            <w:b/>
            <w:bCs/>
            <w:color w:val="0000FF"/>
            <w:sz w:val="16"/>
            <w:szCs w:val="16"/>
            <w:u w:val="single"/>
          </w:rPr>
          <w:t>Help</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3"/>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58" w:tgtFrame="_blank" w:history="1">
        <w:r w:rsidRPr="003765D3">
          <w:rPr>
            <w:rFonts w:ascii="Helvetica" w:eastAsia="Times New Roman" w:hAnsi="Helvetica" w:cs="Helvetica"/>
            <w:b/>
            <w:bCs/>
            <w:color w:val="0000FF"/>
            <w:sz w:val="16"/>
            <w:szCs w:val="16"/>
            <w:u w:val="single"/>
          </w:rPr>
          <w:t>About Us</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3"/>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59" w:tgtFrame="_blank" w:history="1">
        <w:r w:rsidRPr="003765D3">
          <w:rPr>
            <w:rFonts w:ascii="Helvetica" w:eastAsia="Times New Roman" w:hAnsi="Helvetica" w:cs="Helvetica"/>
            <w:b/>
            <w:bCs/>
            <w:color w:val="0000FF"/>
            <w:sz w:val="16"/>
            <w:szCs w:val="16"/>
            <w:u w:val="single"/>
          </w:rPr>
          <w:t>UpToDate News</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3"/>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60" w:tgtFrame="_blank" w:history="1">
        <w:r w:rsidRPr="003765D3">
          <w:rPr>
            <w:rFonts w:ascii="Helvetica" w:eastAsia="Times New Roman" w:hAnsi="Helvetica" w:cs="Helvetica"/>
            <w:b/>
            <w:bCs/>
            <w:color w:val="0000FF"/>
            <w:sz w:val="16"/>
            <w:szCs w:val="16"/>
            <w:u w:val="single"/>
          </w:rPr>
          <w:t>Mobile Access</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3"/>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61" w:tgtFrame="_blank" w:history="1">
        <w:r w:rsidRPr="003765D3">
          <w:rPr>
            <w:rFonts w:ascii="Helvetica" w:eastAsia="Times New Roman" w:hAnsi="Helvetica" w:cs="Helvetica"/>
            <w:b/>
            <w:bCs/>
            <w:color w:val="0000FF"/>
            <w:sz w:val="16"/>
            <w:szCs w:val="16"/>
            <w:u w:val="single"/>
          </w:rPr>
          <w:t>Training Center</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3"/>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62" w:tgtFrame="_blank" w:history="1">
        <w:r w:rsidRPr="003765D3">
          <w:rPr>
            <w:rFonts w:ascii="Helvetica" w:eastAsia="Times New Roman" w:hAnsi="Helvetica" w:cs="Helvetica"/>
            <w:b/>
            <w:bCs/>
            <w:color w:val="0000FF"/>
            <w:sz w:val="16"/>
            <w:szCs w:val="16"/>
            <w:u w:val="single"/>
          </w:rPr>
          <w:t>Demos</w:t>
        </w:r>
      </w:hyperlink>
    </w:p>
    <w:p w:rsidR="003765D3" w:rsidRPr="003765D3" w:rsidRDefault="003765D3" w:rsidP="003765D3">
      <w:pPr>
        <w:numPr>
          <w:ilvl w:val="0"/>
          <w:numId w:val="4"/>
        </w:numPr>
        <w:spacing w:after="0" w:line="240" w:lineRule="auto"/>
        <w:ind w:left="0"/>
        <w:jc w:val="center"/>
        <w:textAlignment w:val="top"/>
        <w:rPr>
          <w:rFonts w:ascii="Helvetica" w:eastAsia="Times New Roman" w:hAnsi="Helvetica" w:cs="Helvetica"/>
          <w:color w:val="000000"/>
          <w:sz w:val="16"/>
          <w:szCs w:val="16"/>
        </w:rPr>
      </w:pPr>
    </w:p>
    <w:p w:rsidR="003765D3" w:rsidRPr="003765D3" w:rsidRDefault="003765D3" w:rsidP="003765D3">
      <w:pPr>
        <w:spacing w:after="0" w:line="240" w:lineRule="auto"/>
        <w:jc w:val="center"/>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4"/>
        </w:numPr>
        <w:spacing w:after="0" w:line="240" w:lineRule="auto"/>
        <w:ind w:left="0"/>
        <w:jc w:val="center"/>
        <w:textAlignment w:val="top"/>
        <w:rPr>
          <w:rFonts w:ascii="Helvetica" w:eastAsia="Times New Roman" w:hAnsi="Helvetica" w:cs="Helvetica"/>
          <w:color w:val="000000"/>
          <w:sz w:val="16"/>
          <w:szCs w:val="16"/>
        </w:rPr>
      </w:pPr>
    </w:p>
    <w:p w:rsidR="003765D3" w:rsidRPr="003765D3" w:rsidRDefault="003765D3" w:rsidP="003765D3">
      <w:pPr>
        <w:spacing w:after="0" w:line="240" w:lineRule="auto"/>
        <w:jc w:val="center"/>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4"/>
        </w:numPr>
        <w:spacing w:after="0" w:line="240" w:lineRule="auto"/>
        <w:ind w:left="0"/>
        <w:jc w:val="center"/>
        <w:textAlignment w:val="top"/>
        <w:rPr>
          <w:rFonts w:ascii="Helvetica" w:eastAsia="Times New Roman" w:hAnsi="Helvetica" w:cs="Helvetica"/>
          <w:color w:val="000000"/>
          <w:sz w:val="16"/>
          <w:szCs w:val="16"/>
        </w:rPr>
      </w:pPr>
    </w:p>
    <w:p w:rsidR="003765D3" w:rsidRPr="003765D3" w:rsidRDefault="003765D3" w:rsidP="003765D3">
      <w:pPr>
        <w:spacing w:after="0" w:line="240" w:lineRule="auto"/>
        <w:jc w:val="center"/>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4"/>
        </w:numPr>
        <w:spacing w:after="0" w:line="240" w:lineRule="auto"/>
        <w:ind w:left="0"/>
        <w:jc w:val="center"/>
        <w:textAlignment w:val="top"/>
        <w:rPr>
          <w:rFonts w:ascii="Helvetica" w:eastAsia="Times New Roman" w:hAnsi="Helvetica" w:cs="Helvetica"/>
          <w:color w:val="000000"/>
          <w:sz w:val="16"/>
          <w:szCs w:val="16"/>
        </w:rPr>
      </w:pPr>
    </w:p>
    <w:p w:rsidR="003765D3" w:rsidRPr="003765D3" w:rsidRDefault="003765D3" w:rsidP="003765D3">
      <w:pPr>
        <w:numPr>
          <w:ilvl w:val="0"/>
          <w:numId w:val="5"/>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63" w:tgtFrame="_blank" w:history="1">
        <w:r w:rsidRPr="003765D3">
          <w:rPr>
            <w:rFonts w:ascii="Helvetica" w:eastAsia="Times New Roman" w:hAnsi="Helvetica" w:cs="Helvetica"/>
            <w:color w:val="0000FF"/>
            <w:sz w:val="16"/>
            <w:szCs w:val="16"/>
            <w:u w:val="single"/>
          </w:rPr>
          <w:t>Wolters Kluwer Health</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5"/>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64" w:tgtFrame="_blank" w:history="1">
        <w:r w:rsidRPr="003765D3">
          <w:rPr>
            <w:rFonts w:ascii="Helvetica" w:eastAsia="Times New Roman" w:hAnsi="Helvetica" w:cs="Helvetica"/>
            <w:color w:val="0000FF"/>
            <w:sz w:val="16"/>
            <w:szCs w:val="16"/>
            <w:u w:val="single"/>
          </w:rPr>
          <w:t>Facts &amp; Comparisons®</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5"/>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65" w:tgtFrame="_blank" w:history="1">
        <w:r w:rsidRPr="003765D3">
          <w:rPr>
            <w:rFonts w:ascii="Helvetica" w:eastAsia="Times New Roman" w:hAnsi="Helvetica" w:cs="Helvetica"/>
            <w:color w:val="0000FF"/>
            <w:sz w:val="16"/>
            <w:szCs w:val="16"/>
            <w:u w:val="single"/>
          </w:rPr>
          <w:t>Health Language®</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5"/>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66" w:tgtFrame="_blank" w:history="1">
        <w:proofErr w:type="spellStart"/>
        <w:r w:rsidRPr="003765D3">
          <w:rPr>
            <w:rFonts w:ascii="Helvetica" w:eastAsia="Times New Roman" w:hAnsi="Helvetica" w:cs="Helvetica"/>
            <w:color w:val="0000FF"/>
            <w:sz w:val="16"/>
            <w:szCs w:val="16"/>
            <w:u w:val="single"/>
          </w:rPr>
          <w:t>Lexicomp</w:t>
        </w:r>
        <w:proofErr w:type="spellEnd"/>
        <w:r w:rsidRPr="003765D3">
          <w:rPr>
            <w:rFonts w:ascii="Helvetica" w:eastAsia="Times New Roman" w:hAnsi="Helvetica" w:cs="Helvetica"/>
            <w:color w:val="0000FF"/>
            <w:sz w:val="16"/>
            <w:szCs w:val="16"/>
            <w:u w:val="single"/>
          </w:rPr>
          <w:t>®</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5"/>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67" w:tgtFrame="_blank" w:history="1">
        <w:proofErr w:type="spellStart"/>
        <w:r w:rsidRPr="003765D3">
          <w:rPr>
            <w:rFonts w:ascii="Helvetica" w:eastAsia="Times New Roman" w:hAnsi="Helvetica" w:cs="Helvetica"/>
            <w:color w:val="0000FF"/>
            <w:sz w:val="16"/>
            <w:szCs w:val="16"/>
            <w:u w:val="single"/>
          </w:rPr>
          <w:t>Medi</w:t>
        </w:r>
        <w:proofErr w:type="spellEnd"/>
        <w:r w:rsidRPr="003765D3">
          <w:rPr>
            <w:rFonts w:ascii="Helvetica" w:eastAsia="Times New Roman" w:hAnsi="Helvetica" w:cs="Helvetica"/>
            <w:color w:val="0000FF"/>
            <w:sz w:val="16"/>
            <w:szCs w:val="16"/>
            <w:u w:val="single"/>
          </w:rPr>
          <w:t>-Span®</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5"/>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68" w:tgtFrame="_blank" w:history="1">
        <w:proofErr w:type="spellStart"/>
        <w:r w:rsidRPr="003765D3">
          <w:rPr>
            <w:rFonts w:ascii="Helvetica" w:eastAsia="Times New Roman" w:hAnsi="Helvetica" w:cs="Helvetica"/>
            <w:color w:val="0000FF"/>
            <w:sz w:val="16"/>
            <w:szCs w:val="16"/>
            <w:u w:val="single"/>
          </w:rPr>
          <w:t>Medicom</w:t>
        </w:r>
        <w:proofErr w:type="spellEnd"/>
        <w:r w:rsidRPr="003765D3">
          <w:rPr>
            <w:rFonts w:ascii="Helvetica" w:eastAsia="Times New Roman" w:hAnsi="Helvetica" w:cs="Helvetica"/>
            <w:color w:val="0000FF"/>
            <w:sz w:val="16"/>
            <w:szCs w:val="16"/>
            <w:u w:val="single"/>
          </w:rPr>
          <w:t>®</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5"/>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69" w:tgtFrame="_blank" w:history="1">
        <w:r w:rsidRPr="003765D3">
          <w:rPr>
            <w:rFonts w:ascii="Helvetica" w:eastAsia="Times New Roman" w:hAnsi="Helvetica" w:cs="Helvetica"/>
            <w:color w:val="0000FF"/>
            <w:sz w:val="16"/>
            <w:szCs w:val="16"/>
            <w:u w:val="single"/>
          </w:rPr>
          <w:t>Pharmacy OneSource®</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5"/>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70" w:tgtFrame="_blank" w:history="1">
        <w:proofErr w:type="spellStart"/>
        <w:r w:rsidRPr="003765D3">
          <w:rPr>
            <w:rFonts w:ascii="Helvetica" w:eastAsia="Times New Roman" w:hAnsi="Helvetica" w:cs="Helvetica"/>
            <w:color w:val="0000FF"/>
            <w:sz w:val="16"/>
            <w:szCs w:val="16"/>
            <w:u w:val="single"/>
          </w:rPr>
          <w:t>ProVation</w:t>
        </w:r>
        <w:proofErr w:type="spellEnd"/>
        <w:r w:rsidRPr="003765D3">
          <w:rPr>
            <w:rFonts w:ascii="Helvetica" w:eastAsia="Times New Roman" w:hAnsi="Helvetica" w:cs="Helvetica"/>
            <w:color w:val="0000FF"/>
            <w:sz w:val="16"/>
            <w:szCs w:val="16"/>
            <w:u w:val="single"/>
          </w:rPr>
          <w:t>® Medical</w:t>
        </w:r>
      </w:hyperlink>
    </w:p>
    <w:p w:rsidR="003765D3" w:rsidRPr="003765D3" w:rsidRDefault="003765D3" w:rsidP="003765D3">
      <w:pPr>
        <w:spacing w:after="0" w:line="240" w:lineRule="auto"/>
        <w:rPr>
          <w:rFonts w:ascii="Helvetica" w:eastAsia="Times New Roman" w:hAnsi="Helvetica" w:cs="Helvetica"/>
          <w:color w:val="000000"/>
          <w:sz w:val="18"/>
          <w:szCs w:val="18"/>
        </w:rPr>
      </w:pPr>
      <w:r w:rsidRPr="003765D3">
        <w:rPr>
          <w:rFonts w:ascii="Helvetica" w:eastAsia="Times New Roman" w:hAnsi="Helvetica" w:cs="Helvetica"/>
          <w:color w:val="000000"/>
          <w:sz w:val="18"/>
          <w:szCs w:val="18"/>
        </w:rPr>
        <w:t> </w:t>
      </w:r>
    </w:p>
    <w:p w:rsidR="003765D3" w:rsidRPr="003765D3" w:rsidRDefault="003765D3" w:rsidP="003765D3">
      <w:pPr>
        <w:numPr>
          <w:ilvl w:val="0"/>
          <w:numId w:val="5"/>
        </w:numPr>
        <w:spacing w:before="100" w:beforeAutospacing="1" w:after="100" w:afterAutospacing="1" w:line="240" w:lineRule="auto"/>
        <w:ind w:left="0"/>
        <w:textAlignment w:val="top"/>
        <w:rPr>
          <w:rFonts w:ascii="Helvetica" w:eastAsia="Times New Roman" w:hAnsi="Helvetica" w:cs="Helvetica"/>
          <w:color w:val="000000"/>
          <w:sz w:val="16"/>
          <w:szCs w:val="16"/>
        </w:rPr>
      </w:pPr>
      <w:hyperlink r:id="rId271" w:tgtFrame="_blank" w:history="1">
        <w:proofErr w:type="spellStart"/>
        <w:r w:rsidRPr="003765D3">
          <w:rPr>
            <w:rFonts w:ascii="Helvetica" w:eastAsia="Times New Roman" w:hAnsi="Helvetica" w:cs="Helvetica"/>
            <w:color w:val="0000FF"/>
            <w:sz w:val="16"/>
            <w:szCs w:val="16"/>
            <w:u w:val="single"/>
          </w:rPr>
          <w:t>ProVation</w:t>
        </w:r>
        <w:proofErr w:type="spellEnd"/>
        <w:r w:rsidRPr="003765D3">
          <w:rPr>
            <w:rFonts w:ascii="Helvetica" w:eastAsia="Times New Roman" w:hAnsi="Helvetica" w:cs="Helvetica"/>
            <w:color w:val="0000FF"/>
            <w:sz w:val="16"/>
            <w:szCs w:val="16"/>
            <w:u w:val="single"/>
          </w:rPr>
          <w:t>® Order Sets</w:t>
        </w:r>
      </w:hyperlink>
    </w:p>
    <w:p w:rsidR="003765D3" w:rsidRDefault="003765D3">
      <w:bookmarkStart w:id="0" w:name="_GoBack"/>
      <w:bookmarkEnd w:id="0"/>
    </w:p>
    <w:sectPr w:rsidR="00376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1438B7"/>
    <w:multiLevelType w:val="multilevel"/>
    <w:tmpl w:val="29A2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BC31E6"/>
    <w:multiLevelType w:val="multilevel"/>
    <w:tmpl w:val="F4CA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1C5F0F"/>
    <w:multiLevelType w:val="multilevel"/>
    <w:tmpl w:val="04C6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B052D3"/>
    <w:multiLevelType w:val="multilevel"/>
    <w:tmpl w:val="68342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1E419B"/>
    <w:multiLevelType w:val="multilevel"/>
    <w:tmpl w:val="4BC09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5D3"/>
    <w:rsid w:val="00003294"/>
    <w:rsid w:val="00186FE4"/>
    <w:rsid w:val="003765D3"/>
    <w:rsid w:val="004C6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C11B3B-2471-44D7-873A-66CC002C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65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5">
    <w:name w:val="heading 5"/>
    <w:basedOn w:val="Normal"/>
    <w:link w:val="Heading5Char"/>
    <w:uiPriority w:val="9"/>
    <w:qFormat/>
    <w:rsid w:val="003765D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5D3"/>
    <w:rPr>
      <w:rFonts w:ascii="Times New Roman" w:eastAsia="Times New Roman" w:hAnsi="Times New Roman" w:cs="Times New Roman"/>
      <w:b/>
      <w:bCs/>
      <w:kern w:val="36"/>
      <w:sz w:val="48"/>
      <w:szCs w:val="48"/>
    </w:rPr>
  </w:style>
  <w:style w:type="character" w:customStyle="1" w:styleId="Heading5Char">
    <w:name w:val="Heading 5 Char"/>
    <w:basedOn w:val="DefaultParagraphFont"/>
    <w:link w:val="Heading5"/>
    <w:uiPriority w:val="9"/>
    <w:rsid w:val="003765D3"/>
    <w:rPr>
      <w:rFonts w:ascii="Times New Roman" w:eastAsia="Times New Roman" w:hAnsi="Times New Roman" w:cs="Times New Roman"/>
      <w:b/>
      <w:bCs/>
      <w:sz w:val="20"/>
      <w:szCs w:val="20"/>
    </w:rPr>
  </w:style>
  <w:style w:type="numbering" w:customStyle="1" w:styleId="NoList1">
    <w:name w:val="No List1"/>
    <w:next w:val="NoList"/>
    <w:uiPriority w:val="99"/>
    <w:semiHidden/>
    <w:unhideWhenUsed/>
    <w:rsid w:val="003765D3"/>
  </w:style>
  <w:style w:type="character" w:styleId="Hyperlink">
    <w:name w:val="Hyperlink"/>
    <w:basedOn w:val="DefaultParagraphFont"/>
    <w:uiPriority w:val="99"/>
    <w:semiHidden/>
    <w:unhideWhenUsed/>
    <w:rsid w:val="003765D3"/>
    <w:rPr>
      <w:color w:val="0000FF"/>
      <w:u w:val="single"/>
    </w:rPr>
  </w:style>
  <w:style w:type="character" w:styleId="FollowedHyperlink">
    <w:name w:val="FollowedHyperlink"/>
    <w:basedOn w:val="DefaultParagraphFont"/>
    <w:uiPriority w:val="99"/>
    <w:semiHidden/>
    <w:unhideWhenUsed/>
    <w:rsid w:val="003765D3"/>
    <w:rPr>
      <w:color w:val="800080"/>
      <w:u w:val="single"/>
    </w:rPr>
  </w:style>
  <w:style w:type="paragraph" w:customStyle="1" w:styleId="disclosurelink">
    <w:name w:val="disclosurelink"/>
    <w:basedOn w:val="Normal"/>
    <w:rsid w:val="003765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mphasis">
    <w:name w:val="emphasis"/>
    <w:basedOn w:val="DefaultParagraphFont"/>
    <w:rsid w:val="003765D3"/>
  </w:style>
  <w:style w:type="paragraph" w:customStyle="1" w:styleId="headinganchor">
    <w:name w:val="headinganchor"/>
    <w:basedOn w:val="Normal"/>
    <w:rsid w:val="003765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1">
    <w:name w:val="h1"/>
    <w:basedOn w:val="DefaultParagraphFont"/>
    <w:rsid w:val="003765D3"/>
  </w:style>
  <w:style w:type="character" w:customStyle="1" w:styleId="headingendmark">
    <w:name w:val="headingendmark"/>
    <w:basedOn w:val="DefaultParagraphFont"/>
    <w:rsid w:val="003765D3"/>
  </w:style>
  <w:style w:type="paragraph" w:styleId="NormalWeb">
    <w:name w:val="Normal (Web)"/>
    <w:basedOn w:val="Normal"/>
    <w:uiPriority w:val="99"/>
    <w:semiHidden/>
    <w:unhideWhenUsed/>
    <w:rsid w:val="003765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dent1">
    <w:name w:val="bulletindent1"/>
    <w:basedOn w:val="Normal"/>
    <w:rsid w:val="003765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3765D3"/>
  </w:style>
  <w:style w:type="character" w:styleId="Strong">
    <w:name w:val="Strong"/>
    <w:basedOn w:val="DefaultParagraphFont"/>
    <w:uiPriority w:val="22"/>
    <w:qFormat/>
    <w:rsid w:val="003765D3"/>
    <w:rPr>
      <w:b/>
      <w:bCs/>
    </w:rPr>
  </w:style>
  <w:style w:type="paragraph" w:customStyle="1" w:styleId="bulletindent2">
    <w:name w:val="bulletindent2"/>
    <w:basedOn w:val="Normal"/>
    <w:rsid w:val="003765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DefaultParagraphFont"/>
    <w:rsid w:val="003765D3"/>
  </w:style>
  <w:style w:type="character" w:customStyle="1" w:styleId="h2">
    <w:name w:val="h2"/>
    <w:basedOn w:val="DefaultParagraphFont"/>
    <w:rsid w:val="003765D3"/>
  </w:style>
  <w:style w:type="paragraph" w:styleId="BalloonText">
    <w:name w:val="Balloon Text"/>
    <w:basedOn w:val="Normal"/>
    <w:link w:val="BalloonTextChar"/>
    <w:uiPriority w:val="99"/>
    <w:semiHidden/>
    <w:unhideWhenUsed/>
    <w:rsid w:val="00376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5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590954">
      <w:bodyDiv w:val="1"/>
      <w:marLeft w:val="0"/>
      <w:marRight w:val="0"/>
      <w:marTop w:val="0"/>
      <w:marBottom w:val="0"/>
      <w:divBdr>
        <w:top w:val="none" w:sz="0" w:space="0" w:color="auto"/>
        <w:left w:val="none" w:sz="0" w:space="0" w:color="auto"/>
        <w:bottom w:val="none" w:sz="0" w:space="0" w:color="auto"/>
        <w:right w:val="none" w:sz="0" w:space="0" w:color="auto"/>
      </w:divBdr>
      <w:divsChild>
        <w:div w:id="1688213870">
          <w:marLeft w:val="0"/>
          <w:marRight w:val="0"/>
          <w:marTop w:val="0"/>
          <w:marBottom w:val="0"/>
          <w:divBdr>
            <w:top w:val="none" w:sz="0" w:space="0" w:color="auto"/>
            <w:left w:val="none" w:sz="0" w:space="0" w:color="auto"/>
            <w:bottom w:val="none" w:sz="0" w:space="0" w:color="auto"/>
            <w:right w:val="none" w:sz="0" w:space="0" w:color="auto"/>
          </w:divBdr>
          <w:divsChild>
            <w:div w:id="1494448549">
              <w:marLeft w:val="0"/>
              <w:marRight w:val="0"/>
              <w:marTop w:val="0"/>
              <w:marBottom w:val="0"/>
              <w:divBdr>
                <w:top w:val="none" w:sz="0" w:space="0" w:color="auto"/>
                <w:left w:val="none" w:sz="0" w:space="0" w:color="auto"/>
                <w:bottom w:val="none" w:sz="0" w:space="0" w:color="auto"/>
                <w:right w:val="none" w:sz="0" w:space="0" w:color="auto"/>
              </w:divBdr>
              <w:divsChild>
                <w:div w:id="1010714108">
                  <w:marLeft w:val="720"/>
                  <w:marRight w:val="720"/>
                  <w:marTop w:val="960"/>
                  <w:marBottom w:val="528"/>
                  <w:divBdr>
                    <w:top w:val="none" w:sz="0" w:space="0" w:color="auto"/>
                    <w:left w:val="none" w:sz="0" w:space="0" w:color="auto"/>
                    <w:bottom w:val="none" w:sz="0" w:space="0" w:color="auto"/>
                    <w:right w:val="none" w:sz="0" w:space="0" w:color="auto"/>
                  </w:divBdr>
                  <w:divsChild>
                    <w:div w:id="264464802">
                      <w:marLeft w:val="0"/>
                      <w:marRight w:val="0"/>
                      <w:marTop w:val="0"/>
                      <w:marBottom w:val="240"/>
                      <w:divBdr>
                        <w:top w:val="none" w:sz="0" w:space="0" w:color="auto"/>
                        <w:left w:val="none" w:sz="0" w:space="0" w:color="auto"/>
                        <w:bottom w:val="none" w:sz="0" w:space="0" w:color="auto"/>
                        <w:right w:val="none" w:sz="0" w:space="0" w:color="auto"/>
                      </w:divBdr>
                    </w:div>
                    <w:div w:id="283658410">
                      <w:marLeft w:val="0"/>
                      <w:marRight w:val="0"/>
                      <w:marTop w:val="0"/>
                      <w:marBottom w:val="0"/>
                      <w:divBdr>
                        <w:top w:val="none" w:sz="0" w:space="0" w:color="auto"/>
                        <w:left w:val="none" w:sz="0" w:space="0" w:color="auto"/>
                        <w:bottom w:val="none" w:sz="0" w:space="0" w:color="auto"/>
                        <w:right w:val="none" w:sz="0" w:space="0" w:color="auto"/>
                      </w:divBdr>
                    </w:div>
                    <w:div w:id="1228763945">
                      <w:marLeft w:val="0"/>
                      <w:marRight w:val="0"/>
                      <w:marTop w:val="0"/>
                      <w:marBottom w:val="120"/>
                      <w:divBdr>
                        <w:top w:val="none" w:sz="0" w:space="0" w:color="auto"/>
                        <w:left w:val="none" w:sz="0" w:space="0" w:color="auto"/>
                        <w:bottom w:val="none" w:sz="0" w:space="0" w:color="auto"/>
                        <w:right w:val="none" w:sz="0" w:space="0" w:color="auto"/>
                      </w:divBdr>
                    </w:div>
                    <w:div w:id="282882927">
                      <w:marLeft w:val="0"/>
                      <w:marRight w:val="0"/>
                      <w:marTop w:val="0"/>
                      <w:marBottom w:val="0"/>
                      <w:divBdr>
                        <w:top w:val="none" w:sz="0" w:space="0" w:color="auto"/>
                        <w:left w:val="none" w:sz="0" w:space="0" w:color="auto"/>
                        <w:bottom w:val="none" w:sz="0" w:space="0" w:color="auto"/>
                        <w:right w:val="none" w:sz="0" w:space="0" w:color="auto"/>
                      </w:divBdr>
                    </w:div>
                    <w:div w:id="23025466">
                      <w:marLeft w:val="0"/>
                      <w:marRight w:val="0"/>
                      <w:marTop w:val="480"/>
                      <w:marBottom w:val="480"/>
                      <w:divBdr>
                        <w:top w:val="none" w:sz="0" w:space="0" w:color="auto"/>
                        <w:left w:val="none" w:sz="0" w:space="0" w:color="auto"/>
                        <w:bottom w:val="none" w:sz="0" w:space="0" w:color="auto"/>
                        <w:right w:val="none" w:sz="0" w:space="0" w:color="auto"/>
                      </w:divBdr>
                    </w:div>
                    <w:div w:id="450900193">
                      <w:marLeft w:val="0"/>
                      <w:marRight w:val="0"/>
                      <w:marTop w:val="0"/>
                      <w:marBottom w:val="0"/>
                      <w:divBdr>
                        <w:top w:val="none" w:sz="0" w:space="0" w:color="auto"/>
                        <w:left w:val="none" w:sz="0" w:space="0" w:color="auto"/>
                        <w:bottom w:val="none" w:sz="0" w:space="0" w:color="auto"/>
                        <w:right w:val="none" w:sz="0" w:space="0" w:color="auto"/>
                      </w:divBdr>
                    </w:div>
                    <w:div w:id="776829442">
                      <w:marLeft w:val="0"/>
                      <w:marRight w:val="0"/>
                      <w:marTop w:val="0"/>
                      <w:marBottom w:val="0"/>
                      <w:divBdr>
                        <w:top w:val="none" w:sz="0" w:space="0" w:color="auto"/>
                        <w:left w:val="none" w:sz="0" w:space="0" w:color="auto"/>
                        <w:bottom w:val="none" w:sz="0" w:space="0" w:color="auto"/>
                        <w:right w:val="none" w:sz="0" w:space="0" w:color="auto"/>
                      </w:divBdr>
                    </w:div>
                  </w:divsChild>
                </w:div>
                <w:div w:id="270086503">
                  <w:marLeft w:val="0"/>
                  <w:marRight w:val="0"/>
                  <w:marTop w:val="0"/>
                  <w:marBottom w:val="0"/>
                  <w:divBdr>
                    <w:top w:val="none" w:sz="0" w:space="0" w:color="auto"/>
                    <w:left w:val="none" w:sz="0" w:space="0" w:color="auto"/>
                    <w:bottom w:val="none" w:sz="0" w:space="0" w:color="auto"/>
                    <w:right w:val="none" w:sz="0" w:space="0" w:color="auto"/>
                  </w:divBdr>
                  <w:divsChild>
                    <w:div w:id="1001127973">
                      <w:marLeft w:val="3922"/>
                      <w:marRight w:val="0"/>
                      <w:marTop w:val="0"/>
                      <w:marBottom w:val="0"/>
                      <w:divBdr>
                        <w:top w:val="single" w:sz="6" w:space="0" w:color="D2D197"/>
                        <w:left w:val="single" w:sz="6" w:space="0" w:color="D2D197"/>
                        <w:bottom w:val="none" w:sz="0" w:space="0" w:color="auto"/>
                        <w:right w:val="single" w:sz="6" w:space="0" w:color="D2D197"/>
                      </w:divBdr>
                      <w:divsChild>
                        <w:div w:id="20921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194825">
          <w:marLeft w:val="0"/>
          <w:marRight w:val="0"/>
          <w:marTop w:val="0"/>
          <w:marBottom w:val="0"/>
          <w:divBdr>
            <w:top w:val="none" w:sz="0" w:space="0" w:color="auto"/>
            <w:left w:val="none" w:sz="0" w:space="0" w:color="auto"/>
            <w:bottom w:val="none" w:sz="0" w:space="0" w:color="auto"/>
            <w:right w:val="none" w:sz="0" w:space="0" w:color="auto"/>
          </w:divBdr>
        </w:div>
        <w:div w:id="1128745488">
          <w:marLeft w:val="0"/>
          <w:marRight w:val="0"/>
          <w:marTop w:val="0"/>
          <w:marBottom w:val="0"/>
          <w:divBdr>
            <w:top w:val="single" w:sz="6" w:space="4" w:color="D9D9D9"/>
            <w:left w:val="none" w:sz="0" w:space="0" w:color="auto"/>
            <w:bottom w:val="none" w:sz="0" w:space="0" w:color="auto"/>
            <w:right w:val="none" w:sz="0" w:space="0" w:color="auto"/>
          </w:divBdr>
        </w:div>
        <w:div w:id="353117892">
          <w:marLeft w:val="0"/>
          <w:marRight w:val="0"/>
          <w:marTop w:val="0"/>
          <w:marBottom w:val="0"/>
          <w:divBdr>
            <w:top w:val="none" w:sz="0" w:space="0" w:color="auto"/>
            <w:left w:val="none" w:sz="0" w:space="0" w:color="auto"/>
            <w:bottom w:val="none" w:sz="0" w:space="0" w:color="auto"/>
            <w:right w:val="none" w:sz="0" w:space="0" w:color="auto"/>
          </w:divBdr>
        </w:div>
        <w:div w:id="2087335415">
          <w:marLeft w:val="0"/>
          <w:marRight w:val="0"/>
          <w:marTop w:val="0"/>
          <w:marBottom w:val="150"/>
          <w:divBdr>
            <w:top w:val="single" w:sz="6" w:space="4" w:color="D9D9D9"/>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ptodate.com/contents/immune-thrombocytopenia-itp-in-adults-initial-treatment-and-prognosis/abstract/37" TargetMode="External"/><Relationship Id="rId21" Type="http://schemas.openxmlformats.org/officeDocument/2006/relationships/hyperlink" Target="https://www.uptodate.com/contents/rituximab-intravenous-drug-information?source=see_link" TargetMode="External"/><Relationship Id="rId42" Type="http://schemas.openxmlformats.org/officeDocument/2006/relationships/hyperlink" Target="https://www.uptodate.com/contents/immune-thrombocytopenia-itp-in-adults-initial-treatment-and-prognosis?source=search_result&amp;search=itp&amp;selectedTitle=2~150" TargetMode="External"/><Relationship Id="rId63" Type="http://schemas.openxmlformats.org/officeDocument/2006/relationships/hyperlink" Target="https://www.uptodate.com/contents/clinical-applications-of-thrombopoietic-growth-factors?source=see_link&amp;sectionName=Romiplostim+%28Nplate%2C+Romiplate%29&amp;anchor=H5" TargetMode="External"/><Relationship Id="rId84" Type="http://schemas.openxmlformats.org/officeDocument/2006/relationships/hyperlink" Target="https://www.uptodate.com/contents/glucocorticoid-effects-on-the-immune-system?source=see_link" TargetMode="External"/><Relationship Id="rId138" Type="http://schemas.openxmlformats.org/officeDocument/2006/relationships/hyperlink" Target="https://www.uptodate.com/contents/extrahepatic-manifestations-of-hepatitis-c-virus-infection?source=see_link&amp;sectionName=Immune+thrombocytopenia+%28ITP%29+and+autoimmune+hemolytic+anemia&amp;anchor=H11" TargetMode="External"/><Relationship Id="rId159" Type="http://schemas.openxmlformats.org/officeDocument/2006/relationships/hyperlink" Target="https://www.uptodate.com/contents/immune-thrombocytopenia-itp-in-adults-second-line-and-subsequent-therapies?source=see_link" TargetMode="External"/><Relationship Id="rId170" Type="http://schemas.openxmlformats.org/officeDocument/2006/relationships/hyperlink" Target="https://www.uptodate.com/contents/immune-globulin-drug-information?source=see_link" TargetMode="External"/><Relationship Id="rId191" Type="http://schemas.openxmlformats.org/officeDocument/2006/relationships/hyperlink" Target="https://www.uptodate.com/contents/hematologic-manifestations-of-systemic-lupus-erythematosus?source=see_link&amp;sectionName=Thrombocytopenia&amp;anchor=H18" TargetMode="External"/><Relationship Id="rId205" Type="http://schemas.openxmlformats.org/officeDocument/2006/relationships/hyperlink" Target="https://www.uptodate.com/contents/immune-thrombocytopenia-itp-in-adults-initial-treatment-and-prognosis/abstract/9" TargetMode="External"/><Relationship Id="rId226" Type="http://schemas.openxmlformats.org/officeDocument/2006/relationships/hyperlink" Target="https://www.uptodate.com/contents/immune-thrombocytopenia-itp-in-adults-initial-treatment-and-prognosis/abstract/30" TargetMode="External"/><Relationship Id="rId247" Type="http://schemas.openxmlformats.org/officeDocument/2006/relationships/hyperlink" Target="https://www.uptodate.com/contents/immune-thrombocytopenia-itp-in-adults-initial-treatment-and-prognosis/abstract/53" TargetMode="External"/><Relationship Id="rId107" Type="http://schemas.openxmlformats.org/officeDocument/2006/relationships/hyperlink" Target="https://www.uptodate.com/contents/approach-to-the-adult-with-dyspepsia?source=see_link&amp;sectionName=Antisecretory+therapy&amp;anchor=H63380043" TargetMode="External"/><Relationship Id="rId268" Type="http://schemas.openxmlformats.org/officeDocument/2006/relationships/hyperlink" Target="http://www.medicom.com.cn/" TargetMode="External"/><Relationship Id="rId11" Type="http://schemas.openxmlformats.org/officeDocument/2006/relationships/hyperlink" Target="https://www.uptodate.com/contents/immune-thrombocytopenia-itp-in-adults-clinical-manifestations-and-diagnosis?source=see_link" TargetMode="External"/><Relationship Id="rId32" Type="http://schemas.openxmlformats.org/officeDocument/2006/relationships/hyperlink" Target="https://www.uptodate.com/contents/clinical-and-laboratory-aspects-of-platelet-transfusion-therapy?source=see_link&amp;sectionName=Actively+bleeding+patient&amp;anchor=H558395184" TargetMode="External"/><Relationship Id="rId53" Type="http://schemas.openxmlformats.org/officeDocument/2006/relationships/hyperlink" Target="https://www.uptodate.com/contents/aspirin-drug-information?source=see_link" TargetMode="External"/><Relationship Id="rId74" Type="http://schemas.openxmlformats.org/officeDocument/2006/relationships/hyperlink" Target="https://www.uptodate.com/contents/image?imageKey=HEME%2F87698&amp;topicKey=HEME%2F6677&amp;rank=2%7E150&amp;source=see_link&amp;search=itp" TargetMode="External"/><Relationship Id="rId128" Type="http://schemas.openxmlformats.org/officeDocument/2006/relationships/hyperlink" Target="https://www.uptodate.com/contents/immune-thrombocytopenia-itp-in-adults-second-line-and-subsequent-therapies?source=see_link" TargetMode="External"/><Relationship Id="rId149" Type="http://schemas.openxmlformats.org/officeDocument/2006/relationships/hyperlink" Target="https://www.uptodate.com/contents/immune-thrombocytopenia-itp-in-adults-initial-treatment-and-prognosis/abstract/54" TargetMode="External"/><Relationship Id="rId5" Type="http://schemas.openxmlformats.org/officeDocument/2006/relationships/hyperlink" Target="https://www.uptodate.com/contents/immune-thrombocytopenia-itp-in-adults-initial-treatment-and-prognosis/contributors" TargetMode="External"/><Relationship Id="rId95" Type="http://schemas.openxmlformats.org/officeDocument/2006/relationships/hyperlink" Target="https://www.uptodate.com/contents/prednisone-drug-information?source=see_link" TargetMode="External"/><Relationship Id="rId160" Type="http://schemas.openxmlformats.org/officeDocument/2006/relationships/hyperlink" Target="https://www.uptodate.com/contents/immune-thrombocytopenia-itp-in-adults-initial-treatment-and-prognosis/abstract/9" TargetMode="External"/><Relationship Id="rId181" Type="http://schemas.openxmlformats.org/officeDocument/2006/relationships/hyperlink" Target="https://www.uptodate.com/contents/immune-thrombocytopenia-itp-in-adults-clinical-manifestations-and-diagnosis?source=see_link" TargetMode="External"/><Relationship Id="rId216" Type="http://schemas.openxmlformats.org/officeDocument/2006/relationships/hyperlink" Target="https://www.uptodate.com/contents/immune-thrombocytopenia-itp-in-adults-initial-treatment-and-prognosis/abstract/20" TargetMode="External"/><Relationship Id="rId237" Type="http://schemas.openxmlformats.org/officeDocument/2006/relationships/hyperlink" Target="https://www.uptodate.com/contents/immune-thrombocytopenia-itp-in-adults-initial-treatment-and-prognosis/abstract/41" TargetMode="External"/><Relationship Id="rId258" Type="http://schemas.openxmlformats.org/officeDocument/2006/relationships/hyperlink" Target="https://www.uptodate.com/home/about-us" TargetMode="External"/><Relationship Id="rId22" Type="http://schemas.openxmlformats.org/officeDocument/2006/relationships/hyperlink" Target="https://www.uptodate.com/contents/immune-thrombocytopenia-itp-in-adults-second-line-and-subsequent-therapies?source=see_link" TargetMode="External"/><Relationship Id="rId43" Type="http://schemas.openxmlformats.org/officeDocument/2006/relationships/hyperlink" Target="https://www.uptodate.com/contents/immune-thrombocytopenia-itp-in-adults-clinical-manifestations-and-diagnosis?source=see_link" TargetMode="External"/><Relationship Id="rId64" Type="http://schemas.openxmlformats.org/officeDocument/2006/relationships/hyperlink" Target="https://www.uptodate.com/contents/indications-and-hemoglobin-thresholds-for-red-blood-cell-transfusion-in-the-adult?source=see_link&amp;sectionName=Acute+bleeding&amp;anchor=H606681" TargetMode="External"/><Relationship Id="rId118" Type="http://schemas.openxmlformats.org/officeDocument/2006/relationships/hyperlink" Target="https://www.uptodate.com/contents/immune-thrombocytopenia-itp-in-adults-initial-treatment-and-prognosis/abstract/38" TargetMode="External"/><Relationship Id="rId139" Type="http://schemas.openxmlformats.org/officeDocument/2006/relationships/hyperlink" Target="https://www.uptodate.com/contents/hematologic-manifestations-of-hiv-infection-thrombocytopenia-and-coagulation-abnormalities?source=see_link&amp;sectionName=TREATMENT+OF+HIV-ASSOCIATED+THROMBOCYTOPENIA&amp;anchor=H7" TargetMode="External"/><Relationship Id="rId85" Type="http://schemas.openxmlformats.org/officeDocument/2006/relationships/hyperlink" Target="https://www.uptodate.com/contents/dexamethasone-drug-information?source=see_link" TargetMode="External"/><Relationship Id="rId150" Type="http://schemas.openxmlformats.org/officeDocument/2006/relationships/hyperlink" Target="https://www.uptodate.com/contents/indications-and-diagnostic-tests-for-helicobacter-pylori-infection?source=see_link" TargetMode="External"/><Relationship Id="rId171" Type="http://schemas.openxmlformats.org/officeDocument/2006/relationships/hyperlink" Target="https://www.uptodate.com/contents/grade/3?title=Grade%201C&amp;topicKey=HEME/6677" TargetMode="External"/><Relationship Id="rId192" Type="http://schemas.openxmlformats.org/officeDocument/2006/relationships/hyperlink" Target="https://www.uptodate.com/contents/extrahepatic-manifestations-of-hepatitis-c-virus-infection?source=see_link&amp;sectionName=Immune+thrombocytopenia+%28ITP%29+and+autoimmune+hemolytic+anemia&amp;anchor=H11" TargetMode="External"/><Relationship Id="rId206" Type="http://schemas.openxmlformats.org/officeDocument/2006/relationships/hyperlink" Target="https://www.uptodate.com/contents/immune-thrombocytopenia-itp-in-adults-initial-treatment-and-prognosis/abstract/10" TargetMode="External"/><Relationship Id="rId227" Type="http://schemas.openxmlformats.org/officeDocument/2006/relationships/hyperlink" Target="https://www.uptodate.com/contents/immune-thrombocytopenia-itp-in-adults-initial-treatment-and-prognosis/abstract/31" TargetMode="External"/><Relationship Id="rId248" Type="http://schemas.openxmlformats.org/officeDocument/2006/relationships/hyperlink" Target="https://www.uptodate.com/contents/immune-thrombocytopenia-itp-in-adults-initial-treatment-and-prognosis/abstract/54" TargetMode="External"/><Relationship Id="rId269" Type="http://schemas.openxmlformats.org/officeDocument/2006/relationships/hyperlink" Target="http://www.pharmacyonesource.com/" TargetMode="External"/><Relationship Id="rId12" Type="http://schemas.openxmlformats.org/officeDocument/2006/relationships/hyperlink" Target="https://www.uptodate.com/contents/immune-thrombocytopenia-itp-in-adults-second-line-and-subsequent-therapies?source=see_link" TargetMode="External"/><Relationship Id="rId33" Type="http://schemas.openxmlformats.org/officeDocument/2006/relationships/hyperlink" Target="https://www.uptodate.com/contents/immune-thrombocytopenia-itp-in-adults-initial-treatment-and-prognosis/abstract/5-7" TargetMode="External"/><Relationship Id="rId108" Type="http://schemas.openxmlformats.org/officeDocument/2006/relationships/hyperlink" Target="https://www.uptodate.com/contents/immune-thrombocytopenia-itp-in-adults-initial-treatment-and-prognosis/abstract/32" TargetMode="External"/><Relationship Id="rId129" Type="http://schemas.openxmlformats.org/officeDocument/2006/relationships/hyperlink" Target="https://www.uptodate.com/contents/clinical-and-laboratory-aspects-of-platelet-transfusion-therapy?source=see_link&amp;sectionName=Preparation+for+an+invasive+procedure&amp;anchor=H558384448" TargetMode="External"/><Relationship Id="rId54" Type="http://schemas.openxmlformats.org/officeDocument/2006/relationships/hyperlink" Target="https://www.uptodate.com/contents/celecoxib-drug-information?source=see_link" TargetMode="External"/><Relationship Id="rId75" Type="http://schemas.openxmlformats.org/officeDocument/2006/relationships/hyperlink" Target="https://www.uptodate.com/contents/immune-thrombocytopenia-itp-in-adults-initial-treatment-and-prognosis?source=search_result&amp;search=itp&amp;selectedTitle=2~150" TargetMode="External"/><Relationship Id="rId96" Type="http://schemas.openxmlformats.org/officeDocument/2006/relationships/hyperlink" Target="https://www.uptodate.com/contents/dexamethasone-drug-information?source=see_link" TargetMode="External"/><Relationship Id="rId140" Type="http://schemas.openxmlformats.org/officeDocument/2006/relationships/hyperlink" Target="https://www.uptodate.com/contents/overview-of-the-complications-of-chronic-lymphocytic-leukemia?source=see_link&amp;sectionName=THROMBOCYTOPENIA&amp;anchor=H20" TargetMode="External"/><Relationship Id="rId161" Type="http://schemas.openxmlformats.org/officeDocument/2006/relationships/hyperlink" Target="https://www.uptodate.com/contents/immune-thrombocytopenia-itp-in-adults-initial-treatment-and-prognosis/abstract/8" TargetMode="External"/><Relationship Id="rId182" Type="http://schemas.openxmlformats.org/officeDocument/2006/relationships/hyperlink" Target="https://www.uptodate.com/contents/immune-thrombocytopenia-itp-in-adults-second-line-and-subsequent-therapies?source=see_link" TargetMode="External"/><Relationship Id="rId217" Type="http://schemas.openxmlformats.org/officeDocument/2006/relationships/hyperlink" Target="https://www.uptodate.com/contents/immune-thrombocytopenia-itp-in-adults-initial-treatment-and-prognosis/abstract/21" TargetMode="External"/><Relationship Id="rId6" Type="http://schemas.openxmlformats.org/officeDocument/2006/relationships/hyperlink" Target="https://www.uptodate.com/contents/immune-thrombocytopenia-itp-in-adults-initial-treatment-and-prognosis/contributors" TargetMode="External"/><Relationship Id="rId238" Type="http://schemas.openxmlformats.org/officeDocument/2006/relationships/hyperlink" Target="https://www.uptodate.com/contents/immune-thrombocytopenia-itp-in-adults-initial-treatment-and-prognosis/abstract/42" TargetMode="External"/><Relationship Id="rId259" Type="http://schemas.openxmlformats.org/officeDocument/2006/relationships/hyperlink" Target="https://www.uptodate.com/home/uptodate-news" TargetMode="External"/><Relationship Id="rId23" Type="http://schemas.openxmlformats.org/officeDocument/2006/relationships/hyperlink" Target="https://www.uptodate.com/contents/immune-thrombocytopenia-itp-in-adults-initial-treatment-and-prognosis/abstract/1-4" TargetMode="External"/><Relationship Id="rId119" Type="http://schemas.openxmlformats.org/officeDocument/2006/relationships/hyperlink" Target="https://www.uptodate.com/contents/immune-thrombocytopenia-itp-in-adults-initial-treatment-and-prognosis/abstract/39,40" TargetMode="External"/><Relationship Id="rId270" Type="http://schemas.openxmlformats.org/officeDocument/2006/relationships/hyperlink" Target="http://www.provationmedical.com/" TargetMode="External"/><Relationship Id="rId44" Type="http://schemas.openxmlformats.org/officeDocument/2006/relationships/hyperlink" Target="https://www.uptodate.com/contents/immune-thrombocytopenia-itp-in-adults-initial-treatment-and-prognosis?source=search_result&amp;search=itp&amp;selectedTitle=2~150" TargetMode="External"/><Relationship Id="rId60" Type="http://schemas.openxmlformats.org/officeDocument/2006/relationships/hyperlink" Target="https://www.uptodate.com/contents/dexamethasone-drug-information?source=see_link" TargetMode="External"/><Relationship Id="rId65" Type="http://schemas.openxmlformats.org/officeDocument/2006/relationships/hyperlink" Target="https://www.uptodate.com/contents/immune-thrombocytopenia-itp-in-adults-initial-treatment-and-prognosis/abstract/18" TargetMode="External"/><Relationship Id="rId81" Type="http://schemas.openxmlformats.org/officeDocument/2006/relationships/hyperlink" Target="https://www.uptodate.com/contents/immune-thrombocytopenia-itp-in-adults-initial-treatment-and-prognosis/abstract/5" TargetMode="External"/><Relationship Id="rId86" Type="http://schemas.openxmlformats.org/officeDocument/2006/relationships/hyperlink" Target="https://www.uptodate.com/contents/prednisone-drug-information?source=see_link" TargetMode="External"/><Relationship Id="rId130" Type="http://schemas.openxmlformats.org/officeDocument/2006/relationships/hyperlink" Target="https://www.uptodate.com/contents/immune-globulin-drug-information?source=see_link" TargetMode="External"/><Relationship Id="rId135" Type="http://schemas.openxmlformats.org/officeDocument/2006/relationships/hyperlink" Target="https://www.uptodate.com/contents/thrombocytopenia-in-pregnancy?source=see_link&amp;sectionName=ITP&amp;anchor=H3586240276" TargetMode="External"/><Relationship Id="rId151" Type="http://schemas.openxmlformats.org/officeDocument/2006/relationships/hyperlink" Target="https://www.uptodate.com/contents/treatment-regimens-for-helicobacter-pylori?source=see_link" TargetMode="External"/><Relationship Id="rId156" Type="http://schemas.openxmlformats.org/officeDocument/2006/relationships/hyperlink" Target="https://www.uptodate.com/contents/immune-thrombocytopenia-itp-in-adults-clinical-manifestations-and-diagnosis?source=see_link" TargetMode="External"/><Relationship Id="rId177" Type="http://schemas.openxmlformats.org/officeDocument/2006/relationships/hyperlink" Target="https://www.uptodate.com/contents/rituximab-intravenous-drug-information?source=see_link" TargetMode="External"/><Relationship Id="rId198" Type="http://schemas.openxmlformats.org/officeDocument/2006/relationships/hyperlink" Target="https://www.uptodate.com/contents/immune-thrombocytopenia-itp-in-adults-initial-treatment-and-prognosis/abstract/2" TargetMode="External"/><Relationship Id="rId172" Type="http://schemas.openxmlformats.org/officeDocument/2006/relationships/hyperlink" Target="https://www.uptodate.com/contents/immune-thrombocytopenia-itp-in-adults-initial-treatment-and-prognosis?source=search_result&amp;search=itp&amp;selectedTitle=2~150" TargetMode="External"/><Relationship Id="rId193" Type="http://schemas.openxmlformats.org/officeDocument/2006/relationships/hyperlink" Target="https://www.uptodate.com/contents/hematologic-manifestations-of-hiv-infection-thrombocytopenia-and-coagulation-abnormalities?source=see_link&amp;sectionName=TREATMENT+OF+HIV-ASSOCIATED+THROMBOCYTOPENIA&amp;anchor=H7" TargetMode="External"/><Relationship Id="rId202" Type="http://schemas.openxmlformats.org/officeDocument/2006/relationships/hyperlink" Target="https://www.uptodate.com/contents/immune-thrombocytopenia-itp-in-adults-initial-treatment-and-prognosis/abstract/6" TargetMode="External"/><Relationship Id="rId207" Type="http://schemas.openxmlformats.org/officeDocument/2006/relationships/hyperlink" Target="https://www.uptodate.com/contents/immune-thrombocytopenia-itp-in-adults-initial-treatment-and-prognosis/abstract/11" TargetMode="External"/><Relationship Id="rId223" Type="http://schemas.openxmlformats.org/officeDocument/2006/relationships/hyperlink" Target="https://www.uptodate.com/contents/immune-thrombocytopenia-itp-in-adults-initial-treatment-and-prognosis/abstract/27" TargetMode="External"/><Relationship Id="rId228" Type="http://schemas.openxmlformats.org/officeDocument/2006/relationships/hyperlink" Target="https://www.uptodate.com/contents/immune-thrombocytopenia-itp-in-adults-initial-treatment-and-prognosis/abstract/32" TargetMode="External"/><Relationship Id="rId244" Type="http://schemas.openxmlformats.org/officeDocument/2006/relationships/hyperlink" Target="https://www.uptodate.com/contents/immune-thrombocytopenia-itp-in-adults-initial-treatment-and-prognosis/abstract/50" TargetMode="External"/><Relationship Id="rId249" Type="http://schemas.openxmlformats.org/officeDocument/2006/relationships/hyperlink" Target="https://www.uptodate.com/contents/immune-thrombocytopenia-itp-in-adults-initial-treatment-and-prognosis/abstract/55" TargetMode="External"/><Relationship Id="rId13" Type="http://schemas.openxmlformats.org/officeDocument/2006/relationships/hyperlink" Target="https://www.uptodate.com/contents/immune-thrombocytopenia-itp-in-children-initial-management?source=see_link" TargetMode="External"/><Relationship Id="rId18" Type="http://schemas.openxmlformats.org/officeDocument/2006/relationships/hyperlink" Target="https://www.uptodate.com/contents/drug-induced-immune-thrombocytopenia?source=see_link" TargetMode="External"/><Relationship Id="rId39" Type="http://schemas.openxmlformats.org/officeDocument/2006/relationships/hyperlink" Target="https://www.uptodate.com/contents/immune-thrombocytopenia-itp-in-adults-initial-treatment-and-prognosis/abstract/11-13" TargetMode="External"/><Relationship Id="rId109" Type="http://schemas.openxmlformats.org/officeDocument/2006/relationships/hyperlink" Target="https://www.uptodate.com/contents/overview-of-intravenous-immune-globulin-ivig-therapy?source=see_link&amp;sectionName=Suppression+of+inflammatory%2Fautoimmune+processes&amp;anchor=H158537" TargetMode="External"/><Relationship Id="rId260" Type="http://schemas.openxmlformats.org/officeDocument/2006/relationships/hyperlink" Target="https://www.uptodate.com/home/uptodate-mobile-access" TargetMode="External"/><Relationship Id="rId265" Type="http://schemas.openxmlformats.org/officeDocument/2006/relationships/hyperlink" Target="http://www.healthlanguage.com/" TargetMode="External"/><Relationship Id="rId34" Type="http://schemas.openxmlformats.org/officeDocument/2006/relationships/hyperlink" Target="https://www.uptodate.com/contents/immune-thrombocytopenia-itp-in-adults-initial-treatment-and-prognosis?source=search_result&amp;search=itp&amp;selectedTitle=2~150" TargetMode="External"/><Relationship Id="rId50" Type="http://schemas.openxmlformats.org/officeDocument/2006/relationships/hyperlink" Target="https://www.uptodate.com/contents/approach-to-immunizations-in-healthy-adults?source=see_link" TargetMode="External"/><Relationship Id="rId55" Type="http://schemas.openxmlformats.org/officeDocument/2006/relationships/hyperlink" Target="https://www.uptodate.com/contents/overview-of-selective-cox-2-inhibitors?source=see_link&amp;sectionName=Lack+of+effect+upon+platelets&amp;anchor=H7" TargetMode="External"/><Relationship Id="rId76" Type="http://schemas.openxmlformats.org/officeDocument/2006/relationships/hyperlink" Target="https://www.uptodate.com/contents/methylprednisolone-drug-information?source=see_link" TargetMode="External"/><Relationship Id="rId97" Type="http://schemas.openxmlformats.org/officeDocument/2006/relationships/hyperlink" Target="https://www.uptodate.com/contents/prednisone-drug-information?source=see_link" TargetMode="External"/><Relationship Id="rId104" Type="http://schemas.openxmlformats.org/officeDocument/2006/relationships/hyperlink" Target="https://www.uptodate.com/contents/glucocorticoid-effects-on-the-immune-system?source=see_link" TargetMode="External"/><Relationship Id="rId120" Type="http://schemas.openxmlformats.org/officeDocument/2006/relationships/hyperlink" Target="https://www.uptodate.com/contents/immune-thrombocytopenia-itp-in-adults-initial-treatment-and-prognosis/abstract/41,42" TargetMode="External"/><Relationship Id="rId125" Type="http://schemas.openxmlformats.org/officeDocument/2006/relationships/hyperlink" Target="https://www.uptodate.com/contents/immune-thrombocytopenia-itp-in-adults-initial-treatment-and-prognosis/abstract/47" TargetMode="External"/><Relationship Id="rId141" Type="http://schemas.openxmlformats.org/officeDocument/2006/relationships/hyperlink" Target="https://www.uptodate.com/contents/selection-of-initial-therapy-for-symptomatic-or-advanced-chronic-lymphocytic-leukemia?source=see_link" TargetMode="External"/><Relationship Id="rId146" Type="http://schemas.openxmlformats.org/officeDocument/2006/relationships/hyperlink" Target="https://www.uptodate.com/contents/immune-thrombocytopenia-itp-in-adults-initial-treatment-and-prognosis/abstract/51" TargetMode="External"/><Relationship Id="rId167" Type="http://schemas.openxmlformats.org/officeDocument/2006/relationships/hyperlink" Target="https://www.uptodate.com/contents/society-guideline-links-immune-thrombocytopenia-itp-and-other-platelet-disorders?source=see_link" TargetMode="External"/><Relationship Id="rId188" Type="http://schemas.openxmlformats.org/officeDocument/2006/relationships/hyperlink" Target="https://www.uptodate.com/contents/immune-thrombocytopenia-itp-in-adults-initial-treatment-and-prognosis?source=search_result&amp;search=itp&amp;selectedTitle=2~150" TargetMode="External"/><Relationship Id="rId7" Type="http://schemas.openxmlformats.org/officeDocument/2006/relationships/hyperlink" Target="https://www.uptodate.com/contents/immune-thrombocytopenia-itp-in-adults-initial-treatment-and-prognosis/contributors" TargetMode="External"/><Relationship Id="rId71" Type="http://schemas.openxmlformats.org/officeDocument/2006/relationships/hyperlink" Target="https://www.uptodate.com/contents/recombinant-factor-viia-clinical-uses-dosing-and-adverse-effects?source=see_link&amp;sectionName=OFF-LABEL+EXPERIENCE&amp;anchor=H12" TargetMode="External"/><Relationship Id="rId92" Type="http://schemas.openxmlformats.org/officeDocument/2006/relationships/hyperlink" Target="https://www.uptodate.com/contents/immune-thrombocytopenia-itp-in-adults-initial-treatment-and-prognosis/abstract/28,29" TargetMode="External"/><Relationship Id="rId162" Type="http://schemas.openxmlformats.org/officeDocument/2006/relationships/hyperlink" Target="https://www.uptodate.com/contents/immune-thrombocytopenia-itp-in-adults-initial-treatment-and-prognosis/abstract/5,8-10,55-58" TargetMode="External"/><Relationship Id="rId183" Type="http://schemas.openxmlformats.org/officeDocument/2006/relationships/hyperlink" Target="https://www.uptodate.com/contents/grade/5?title=Grade%202B&amp;topicKey=HEME/6677" TargetMode="External"/><Relationship Id="rId213" Type="http://schemas.openxmlformats.org/officeDocument/2006/relationships/hyperlink" Target="https://www.uptodate.com/contents/immune-thrombocytopenia-itp-in-adults-initial-treatment-and-prognosis/abstract/17" TargetMode="External"/><Relationship Id="rId218" Type="http://schemas.openxmlformats.org/officeDocument/2006/relationships/hyperlink" Target="https://www.uptodate.com/contents/immune-thrombocytopenia-itp-in-adults-initial-treatment-and-prognosis/abstract/22" TargetMode="External"/><Relationship Id="rId234" Type="http://schemas.openxmlformats.org/officeDocument/2006/relationships/hyperlink" Target="https://www.uptodate.com/contents/immune-thrombocytopenia-itp-in-adults-initial-treatment-and-prognosis/abstract/38" TargetMode="External"/><Relationship Id="rId239" Type="http://schemas.openxmlformats.org/officeDocument/2006/relationships/hyperlink" Target="https://www.uptodate.com/contents/immune-thrombocytopenia-itp-in-adults-initial-treatment-and-prognosis/abstract/43" TargetMode="External"/><Relationship Id="rId2" Type="http://schemas.openxmlformats.org/officeDocument/2006/relationships/styles" Target="styles.xml"/><Relationship Id="rId29" Type="http://schemas.openxmlformats.org/officeDocument/2006/relationships/hyperlink" Target="https://www.uptodate.com/contents/image?imageKey=HEME%2F54047&amp;topicKey=HEME%2F6677&amp;rank=2%7E150&amp;source=see_link&amp;search=itp" TargetMode="External"/><Relationship Id="rId250" Type="http://schemas.openxmlformats.org/officeDocument/2006/relationships/hyperlink" Target="https://www.uptodate.com/contents/immune-thrombocytopenia-itp-in-adults-initial-treatment-and-prognosis/abstract/56" TargetMode="External"/><Relationship Id="rId255" Type="http://schemas.openxmlformats.org/officeDocument/2006/relationships/hyperlink" Target="https://www.uptodate.com/home/policies" TargetMode="External"/><Relationship Id="rId271" Type="http://schemas.openxmlformats.org/officeDocument/2006/relationships/hyperlink" Target="http://www.provationordersets.com/" TargetMode="External"/><Relationship Id="rId24" Type="http://schemas.openxmlformats.org/officeDocument/2006/relationships/hyperlink" Target="https://www.uptodate.com/contents/immune-thrombocytopenia-itp-in-adults-initial-treatment-and-prognosis/abstract/5" TargetMode="External"/><Relationship Id="rId40" Type="http://schemas.openxmlformats.org/officeDocument/2006/relationships/hyperlink" Target="https://www.uptodate.com/contents/immune-thrombocytopenia-itp-in-adults-initial-treatment-and-prognosis/abstract/14" TargetMode="External"/><Relationship Id="rId45" Type="http://schemas.openxmlformats.org/officeDocument/2006/relationships/hyperlink" Target="https://www.uptodate.com/contents/rituximab-intravenous-drug-information?source=see_link" TargetMode="External"/><Relationship Id="rId66" Type="http://schemas.openxmlformats.org/officeDocument/2006/relationships/hyperlink" Target="https://www.uptodate.com/contents/clinical-and-laboratory-aspects-of-platelet-transfusion-therapy?source=see_link&amp;sectionName=COMPLICATIONS+OF+PLATELET+TRANSFUSION&amp;anchor=H382870592" TargetMode="External"/><Relationship Id="rId87" Type="http://schemas.openxmlformats.org/officeDocument/2006/relationships/hyperlink" Target="https://www.uptodate.com/contents/dexamethasone-drug-information?source=see_link" TargetMode="External"/><Relationship Id="rId110" Type="http://schemas.openxmlformats.org/officeDocument/2006/relationships/hyperlink" Target="https://www.uptodate.com/contents/immune-thrombocytopenia-itp-in-adults-initial-treatment-and-prognosis/abstract/33" TargetMode="External"/><Relationship Id="rId115" Type="http://schemas.openxmlformats.org/officeDocument/2006/relationships/hyperlink" Target="https://www.uptodate.com/contents/immune-globulin-drug-information?source=see_link" TargetMode="External"/><Relationship Id="rId131" Type="http://schemas.openxmlformats.org/officeDocument/2006/relationships/hyperlink" Target="https://www.uptodate.com/contents/image?imageKey=HEME%2F87698&amp;topicKey=HEME%2F6677&amp;rank=2%7E150&amp;source=see_link&amp;search=itp" TargetMode="External"/><Relationship Id="rId136" Type="http://schemas.openxmlformats.org/officeDocument/2006/relationships/hyperlink" Target="https://www.uptodate.com/contents/adverse-effects-of-neuraxial-analgesia-and-anesthesia-for-obstetrics?source=see_link" TargetMode="External"/><Relationship Id="rId157" Type="http://schemas.openxmlformats.org/officeDocument/2006/relationships/hyperlink" Target="https://www.uptodate.com/contents/immune-thrombocytopenia-itp-in-adults-initial-treatment-and-prognosis/abstract/10" TargetMode="External"/><Relationship Id="rId178" Type="http://schemas.openxmlformats.org/officeDocument/2006/relationships/hyperlink" Target="https://www.uptodate.com/contents/image?imageKey=ID%2F82634&amp;topicKey=HEME%2F6677&amp;rank=2%7E150&amp;source=see_link&amp;search=itp" TargetMode="External"/><Relationship Id="rId61" Type="http://schemas.openxmlformats.org/officeDocument/2006/relationships/hyperlink" Target="https://www.uptodate.com/contents/immune-thrombocytopenia-itp-in-adults-initial-treatment-and-prognosis/abstract/20" TargetMode="External"/><Relationship Id="rId82" Type="http://schemas.openxmlformats.org/officeDocument/2006/relationships/hyperlink" Target="https://www.uptodate.com/contents/immune-thrombocytopenia-itp-in-adults-initial-treatment-and-prognosis/abstract/25" TargetMode="External"/><Relationship Id="rId152" Type="http://schemas.openxmlformats.org/officeDocument/2006/relationships/hyperlink" Target="https://www.uptodate.com/contents/immune-thrombocytopenia-itp-in-adults-initial-treatment-and-prognosis/abstract/8,10,55" TargetMode="External"/><Relationship Id="rId173" Type="http://schemas.openxmlformats.org/officeDocument/2006/relationships/hyperlink" Target="https://www.uptodate.com/contents/image?imageKey=HEME%2F54047&amp;topicKey=HEME%2F6677&amp;rank=2%7E150&amp;source=see_link&amp;search=itp" TargetMode="External"/><Relationship Id="rId194" Type="http://schemas.openxmlformats.org/officeDocument/2006/relationships/hyperlink" Target="https://www.uptodate.com/contents/overview-of-the-complications-of-chronic-lymphocytic-leukemia?source=see_link&amp;sectionName=THROMBOCYTOPENIA&amp;anchor=H20" TargetMode="External"/><Relationship Id="rId199" Type="http://schemas.openxmlformats.org/officeDocument/2006/relationships/hyperlink" Target="https://www.uptodate.com/contents/immune-thrombocytopenia-itp-in-adults-initial-treatment-and-prognosis/abstract/3" TargetMode="External"/><Relationship Id="rId203" Type="http://schemas.openxmlformats.org/officeDocument/2006/relationships/hyperlink" Target="https://www.uptodate.com/contents/immune-thrombocytopenia-itp-in-adults-initial-treatment-and-prognosis/abstract/7" TargetMode="External"/><Relationship Id="rId208" Type="http://schemas.openxmlformats.org/officeDocument/2006/relationships/hyperlink" Target="https://www.uptodate.com/contents/immune-thrombocytopenia-itp-in-adults-initial-treatment-and-prognosis/abstract/12" TargetMode="External"/><Relationship Id="rId229" Type="http://schemas.openxmlformats.org/officeDocument/2006/relationships/hyperlink" Target="https://www.uptodate.com/contents/immune-thrombocytopenia-itp-in-adults-initial-treatment-and-prognosis/abstract/33" TargetMode="External"/><Relationship Id="rId19" Type="http://schemas.openxmlformats.org/officeDocument/2006/relationships/hyperlink" Target="https://www.uptodate.com/contents/immune-thrombocytopenia-itp-in-adults-second-line-and-subsequent-therapies?source=see_link" TargetMode="External"/><Relationship Id="rId224" Type="http://schemas.openxmlformats.org/officeDocument/2006/relationships/hyperlink" Target="https://www.uptodate.com/contents/immune-thrombocytopenia-itp-in-adults-initial-treatment-and-prognosis/abstract/28" TargetMode="External"/><Relationship Id="rId240" Type="http://schemas.openxmlformats.org/officeDocument/2006/relationships/hyperlink" Target="https://www.uptodate.com/contents/immune-thrombocytopenia-itp-in-adults-initial-treatment-and-prognosis/abstract/44" TargetMode="External"/><Relationship Id="rId245" Type="http://schemas.openxmlformats.org/officeDocument/2006/relationships/hyperlink" Target="https://www.uptodate.com/contents/immune-thrombocytopenia-itp-in-adults-initial-treatment-and-prognosis/abstract/51" TargetMode="External"/><Relationship Id="rId261" Type="http://schemas.openxmlformats.org/officeDocument/2006/relationships/hyperlink" Target="https://www.uptodate.com/home/training-resource-center" TargetMode="External"/><Relationship Id="rId266" Type="http://schemas.openxmlformats.org/officeDocument/2006/relationships/hyperlink" Target="http://www.lexi.com/" TargetMode="External"/><Relationship Id="rId14" Type="http://schemas.openxmlformats.org/officeDocument/2006/relationships/hyperlink" Target="https://www.uptodate.com/contents/immune-thrombocytopenia-itp-in-children-management-of-chronic-disease?source=see_link" TargetMode="External"/><Relationship Id="rId30" Type="http://schemas.openxmlformats.org/officeDocument/2006/relationships/hyperlink" Target="https://www.uptodate.com/contents/immune-globulin-drug-information?source=see_link" TargetMode="External"/><Relationship Id="rId35" Type="http://schemas.openxmlformats.org/officeDocument/2006/relationships/hyperlink" Target="https://www.uptodate.com/contents/immune-thrombocytopenia-itp-in-adults-initial-treatment-and-prognosis?source=search_result&amp;search=itp&amp;selectedTitle=2~150" TargetMode="External"/><Relationship Id="rId56" Type="http://schemas.openxmlformats.org/officeDocument/2006/relationships/hyperlink" Target="https://www.uptodate.com/contents/immune-thrombocytopenia-itp-in-adults-initial-treatment-and-prognosis/abstract/15-19" TargetMode="External"/><Relationship Id="rId77" Type="http://schemas.openxmlformats.org/officeDocument/2006/relationships/hyperlink" Target="https://www.uptodate.com/contents/prednisone-drug-information?source=see_link" TargetMode="External"/><Relationship Id="rId100" Type="http://schemas.openxmlformats.org/officeDocument/2006/relationships/hyperlink" Target="https://www.uptodate.com/contents/immune-thrombocytopenia-itp-in-adults-second-line-and-subsequent-therapies?source=see_link" TargetMode="External"/><Relationship Id="rId105" Type="http://schemas.openxmlformats.org/officeDocument/2006/relationships/hyperlink" Target="https://www.uptodate.com/contents/prevention-and-treatment-of-glucocorticoid-induced-osteoporosis?source=see_link" TargetMode="External"/><Relationship Id="rId126" Type="http://schemas.openxmlformats.org/officeDocument/2006/relationships/hyperlink" Target="https://www.uptodate.com/contents/immune-globulin-drug-information?source=see_link" TargetMode="External"/><Relationship Id="rId147" Type="http://schemas.openxmlformats.org/officeDocument/2006/relationships/hyperlink" Target="https://www.uptodate.com/contents/immune-thrombocytopenia-itp-in-adults-initial-treatment-and-prognosis/abstract/53" TargetMode="External"/><Relationship Id="rId168" Type="http://schemas.openxmlformats.org/officeDocument/2006/relationships/hyperlink" Target="https://www.uptodate.com/contents/immune-thrombocytopenia-itp-the-basics?source=see_link" TargetMode="External"/><Relationship Id="rId8" Type="http://schemas.openxmlformats.org/officeDocument/2006/relationships/hyperlink" Target="https://www.uptodate.com/contents/immune-thrombocytopenia-itp-in-adults-initial-treatment-and-prognosis/contributors" TargetMode="External"/><Relationship Id="rId51" Type="http://schemas.openxmlformats.org/officeDocument/2006/relationships/hyperlink" Target="https://www.uptodate.com/contents/rituximab-intravenous-drug-information?source=see_link" TargetMode="External"/><Relationship Id="rId72" Type="http://schemas.openxmlformats.org/officeDocument/2006/relationships/hyperlink" Target="https://www.uptodate.com/contents/immune-globulin-drug-information?source=see_link" TargetMode="External"/><Relationship Id="rId93" Type="http://schemas.openxmlformats.org/officeDocument/2006/relationships/hyperlink" Target="https://www.uptodate.com/contents/image?imageKey=ENDO%2F64138&amp;topicKey=HEME%2F6677&amp;rank=2%7E150&amp;source=see_link&amp;search=itp" TargetMode="External"/><Relationship Id="rId98" Type="http://schemas.openxmlformats.org/officeDocument/2006/relationships/hyperlink" Target="https://www.uptodate.com/contents/glucocorticoid-withdrawal?source=see_link" TargetMode="External"/><Relationship Id="rId121" Type="http://schemas.openxmlformats.org/officeDocument/2006/relationships/hyperlink" Target="https://www.uptodate.com/contents/immune-thrombocytopenia-itp-in-adults-initial-treatment-and-prognosis/abstract/43,44" TargetMode="External"/><Relationship Id="rId142" Type="http://schemas.openxmlformats.org/officeDocument/2006/relationships/hyperlink" Target="https://www.uptodate.com/contents/immune-thrombocytopenia-itp-in-adults-initial-treatment-and-prognosis/abstract/51" TargetMode="External"/><Relationship Id="rId163" Type="http://schemas.openxmlformats.org/officeDocument/2006/relationships/hyperlink" Target="https://www.uptodate.com/contents/immune-thrombocytopenia-itp-in-adults-initial-treatment-and-prognosis/abstract/9" TargetMode="External"/><Relationship Id="rId184" Type="http://schemas.openxmlformats.org/officeDocument/2006/relationships/hyperlink" Target="https://www.uptodate.com/contents/dexamethasone-drug-information?source=see_link" TargetMode="External"/><Relationship Id="rId189" Type="http://schemas.openxmlformats.org/officeDocument/2006/relationships/hyperlink" Target="https://www.uptodate.com/contents/clinical-and-laboratory-aspects-of-platelet-transfusion-therapy?source=see_link&amp;sectionName=Preparation+for+an+invasive+procedure&amp;anchor=H558384448" TargetMode="External"/><Relationship Id="rId219" Type="http://schemas.openxmlformats.org/officeDocument/2006/relationships/hyperlink" Target="https://www.uptodate.com/contents/immune-thrombocytopenia-itp-in-adults-initial-treatment-and-prognosis/abstract/23" TargetMode="External"/><Relationship Id="rId3" Type="http://schemas.openxmlformats.org/officeDocument/2006/relationships/settings" Target="settings.xml"/><Relationship Id="rId214" Type="http://schemas.openxmlformats.org/officeDocument/2006/relationships/hyperlink" Target="https://www.uptodate.com/contents/immune-thrombocytopenia-itp-in-adults-initial-treatment-and-prognosis/abstract/18" TargetMode="External"/><Relationship Id="rId230" Type="http://schemas.openxmlformats.org/officeDocument/2006/relationships/hyperlink" Target="https://www.uptodate.com/contents/immune-thrombocytopenia-itp-in-adults-initial-treatment-and-prognosis/abstract/34" TargetMode="External"/><Relationship Id="rId235" Type="http://schemas.openxmlformats.org/officeDocument/2006/relationships/hyperlink" Target="https://www.uptodate.com/contents/immune-thrombocytopenia-itp-in-adults-initial-treatment-and-prognosis/abstract/39" TargetMode="External"/><Relationship Id="rId251" Type="http://schemas.openxmlformats.org/officeDocument/2006/relationships/hyperlink" Target="https://www.uptodate.com/contents/immune-thrombocytopenia-itp-in-adults-initial-treatment-and-prognosis/abstract/57" TargetMode="External"/><Relationship Id="rId256" Type="http://schemas.openxmlformats.org/officeDocument/2006/relationships/hyperlink" Target="https://www.uptodate.com/home/contact-us" TargetMode="External"/><Relationship Id="rId25" Type="http://schemas.openxmlformats.org/officeDocument/2006/relationships/hyperlink" Target="https://www.uptodate.com/contents/immune-thrombocytopenia-itp-in-adults-initial-treatment-and-prognosis?source=search_result&amp;search=itp&amp;selectedTitle=2~150" TargetMode="External"/><Relationship Id="rId46" Type="http://schemas.openxmlformats.org/officeDocument/2006/relationships/hyperlink" Target="https://www.uptodate.com/contents/diagnosis-of-hepatitis-b-virus-infection?source=see_link" TargetMode="External"/><Relationship Id="rId67" Type="http://schemas.openxmlformats.org/officeDocument/2006/relationships/hyperlink" Target="https://www.uptodate.com/contents/tranexamic-acid-drug-information?source=see_link" TargetMode="External"/><Relationship Id="rId116" Type="http://schemas.openxmlformats.org/officeDocument/2006/relationships/hyperlink" Target="https://www.uptodate.com/contents/immune-thrombocytopenia-itp-in-adults-initial-treatment-and-prognosis/abstract/35,36" TargetMode="External"/><Relationship Id="rId137" Type="http://schemas.openxmlformats.org/officeDocument/2006/relationships/hyperlink" Target="https://www.uptodate.com/contents/hematologic-manifestations-of-systemic-lupus-erythematosus?source=see_link&amp;sectionName=Thrombocytopenia&amp;anchor=H18" TargetMode="External"/><Relationship Id="rId158" Type="http://schemas.openxmlformats.org/officeDocument/2006/relationships/hyperlink" Target="https://www.uptodate.com/contents/immune-thrombocytopenia-itp-in-adults-initial-treatment-and-prognosis/abstract/10" TargetMode="External"/><Relationship Id="rId272" Type="http://schemas.openxmlformats.org/officeDocument/2006/relationships/fontTable" Target="fontTable.xml"/><Relationship Id="rId20" Type="http://schemas.openxmlformats.org/officeDocument/2006/relationships/hyperlink" Target="https://www.uptodate.com/contents/immune-globulin-drug-information?source=see_link" TargetMode="External"/><Relationship Id="rId41" Type="http://schemas.openxmlformats.org/officeDocument/2006/relationships/hyperlink" Target="https://www.uptodate.com/contents/immune-thrombocytopenia-itp-in-adults-clinical-manifestations-and-diagnosis?source=see_link&amp;sectionName=DIAGNOSTIC+EVALUATION&amp;anchor=H15" TargetMode="External"/><Relationship Id="rId62" Type="http://schemas.openxmlformats.org/officeDocument/2006/relationships/hyperlink" Target="https://www.uptodate.com/contents/immune-thrombocytopenia-itp-in-adults-second-line-and-subsequent-therapies?source=see_link&amp;sectionName=Romiplostim&amp;anchor=H7" TargetMode="External"/><Relationship Id="rId83" Type="http://schemas.openxmlformats.org/officeDocument/2006/relationships/hyperlink" Target="https://www.uptodate.com/contents/immune-thrombocytopenia-itp-in-adults-initial-treatment-and-prognosis/abstract/26" TargetMode="External"/><Relationship Id="rId88" Type="http://schemas.openxmlformats.org/officeDocument/2006/relationships/hyperlink" Target="https://www.uptodate.com/contents/immune-thrombocytopenia-itp-in-adults-initial-treatment-and-prognosis/abstract/27" TargetMode="External"/><Relationship Id="rId111" Type="http://schemas.openxmlformats.org/officeDocument/2006/relationships/hyperlink" Target="https://www.uptodate.com/contents/immune-thrombocytopenia-itp-in-adults-initial-treatment-and-prognosis/abstract/34" TargetMode="External"/><Relationship Id="rId132" Type="http://schemas.openxmlformats.org/officeDocument/2006/relationships/hyperlink" Target="https://www.uptodate.com/contents/immune-thrombocytopenia-itp-in-adults-initial-treatment-and-prognosis/abstract/48,49" TargetMode="External"/><Relationship Id="rId153" Type="http://schemas.openxmlformats.org/officeDocument/2006/relationships/hyperlink" Target="https://www.uptodate.com/contents/immune-thrombocytopenia-itp-in-adults-initial-treatment-and-prognosis/abstract/10" TargetMode="External"/><Relationship Id="rId174" Type="http://schemas.openxmlformats.org/officeDocument/2006/relationships/hyperlink" Target="https://www.uptodate.com/contents/grade/2?title=Grade%201B&amp;topicKey=HEME/6677" TargetMode="External"/><Relationship Id="rId179" Type="http://schemas.openxmlformats.org/officeDocument/2006/relationships/hyperlink" Target="https://www.uptodate.com/contents/image?imageKey=ID%2F62130&amp;topicKey=HEME%2F6677&amp;rank=2%7E150&amp;source=see_link&amp;search=itp" TargetMode="External"/><Relationship Id="rId195" Type="http://schemas.openxmlformats.org/officeDocument/2006/relationships/hyperlink" Target="https://www.uptodate.com/contents/selection-of-initial-therapy-for-symptomatic-or-advanced-chronic-lymphocytic-leukemia?source=see_link" TargetMode="External"/><Relationship Id="rId209" Type="http://schemas.openxmlformats.org/officeDocument/2006/relationships/hyperlink" Target="https://www.uptodate.com/contents/immune-thrombocytopenia-itp-in-adults-initial-treatment-and-prognosis/abstract/13" TargetMode="External"/><Relationship Id="rId190" Type="http://schemas.openxmlformats.org/officeDocument/2006/relationships/hyperlink" Target="https://www.uptodate.com/contents/immune-thrombocytopenia-itp-in-adults-second-line-and-subsequent-therapies?source=see_link" TargetMode="External"/><Relationship Id="rId204" Type="http://schemas.openxmlformats.org/officeDocument/2006/relationships/hyperlink" Target="https://www.uptodate.com/contents/immune-thrombocytopenia-itp-in-adults-initial-treatment-and-prognosis/abstract/8" TargetMode="External"/><Relationship Id="rId220" Type="http://schemas.openxmlformats.org/officeDocument/2006/relationships/hyperlink" Target="https://www.uptodate.com/contents/immune-thrombocytopenia-itp-in-adults-initial-treatment-and-prognosis/abstract/24" TargetMode="External"/><Relationship Id="rId225" Type="http://schemas.openxmlformats.org/officeDocument/2006/relationships/hyperlink" Target="https://www.uptodate.com/contents/immune-thrombocytopenia-itp-in-adults-initial-treatment-and-prognosis/abstract/29" TargetMode="External"/><Relationship Id="rId241" Type="http://schemas.openxmlformats.org/officeDocument/2006/relationships/hyperlink" Target="https://www.uptodate.com/contents/immune-thrombocytopenia-itp-in-adults-initial-treatment-and-prognosis/abstract/45" TargetMode="External"/><Relationship Id="rId246" Type="http://schemas.openxmlformats.org/officeDocument/2006/relationships/hyperlink" Target="https://www.uptodate.com/contents/immune-thrombocytopenia-itp-in-adults-initial-treatment-and-prognosis/abstract/52" TargetMode="External"/><Relationship Id="rId267" Type="http://schemas.openxmlformats.org/officeDocument/2006/relationships/hyperlink" Target="http://www.medispan.com/" TargetMode="External"/><Relationship Id="rId15" Type="http://schemas.openxmlformats.org/officeDocument/2006/relationships/hyperlink" Target="https://www.uptodate.com/contents/immune-thrombocytopenia-itp-in-adults-initial-treatment-and-prognosis/abstract/1" TargetMode="External"/><Relationship Id="rId36" Type="http://schemas.openxmlformats.org/officeDocument/2006/relationships/hyperlink" Target="https://www.uptodate.com/contents/immune-thrombocytopenia-itp-in-adults-initial-treatment-and-prognosis?source=search_result&amp;search=itp&amp;selectedTitle=2~150" TargetMode="External"/><Relationship Id="rId57" Type="http://schemas.openxmlformats.org/officeDocument/2006/relationships/hyperlink" Target="https://www.uptodate.com/contents/clinical-and-laboratory-aspects-of-platelet-transfusion-therapy?source=see_link&amp;sectionName=Actively+bleeding+patient&amp;anchor=H558395184" TargetMode="External"/><Relationship Id="rId106" Type="http://schemas.openxmlformats.org/officeDocument/2006/relationships/hyperlink" Target="https://www.uptodate.com/contents/major-side-effects-of-systemic-glucocorticoids?source=see_link&amp;sectionName=Gastrointestinal+tract&amp;anchor=H11" TargetMode="External"/><Relationship Id="rId127" Type="http://schemas.openxmlformats.org/officeDocument/2006/relationships/hyperlink" Target="https://www.uptodate.com/contents/rituximab-intravenous-drug-information?source=see_link" TargetMode="External"/><Relationship Id="rId262" Type="http://schemas.openxmlformats.org/officeDocument/2006/relationships/hyperlink" Target="https://www.uptodate.com/home/help-demo" TargetMode="External"/><Relationship Id="rId10" Type="http://schemas.openxmlformats.org/officeDocument/2006/relationships/hyperlink" Target="https://www.uptodate.com/home/editorial-policy" TargetMode="External"/><Relationship Id="rId31" Type="http://schemas.openxmlformats.org/officeDocument/2006/relationships/hyperlink" Target="https://www.uptodate.com/contents/immune-thrombocytopenia-itp-in-adults-initial-treatment-and-prognosis?source=search_result&amp;search=itp&amp;selectedTitle=2~150" TargetMode="External"/><Relationship Id="rId52" Type="http://schemas.openxmlformats.org/officeDocument/2006/relationships/hyperlink" Target="https://www.uptodate.com/contents/prevention-of-sepsis-in-the-asplenic-patient?source=see_link" TargetMode="External"/><Relationship Id="rId73" Type="http://schemas.openxmlformats.org/officeDocument/2006/relationships/hyperlink" Target="https://www.uptodate.com/contents/immune-thrombocytopenia-itp-in-adults-initial-treatment-and-prognosis?source=search_result&amp;search=itp&amp;selectedTitle=2~150" TargetMode="External"/><Relationship Id="rId78" Type="http://schemas.openxmlformats.org/officeDocument/2006/relationships/hyperlink" Target="https://www.uptodate.com/contents/immune-thrombocytopenia-itp-in-adults-initial-treatment-and-prognosis/abstract/24" TargetMode="External"/><Relationship Id="rId94" Type="http://schemas.openxmlformats.org/officeDocument/2006/relationships/hyperlink" Target="https://www.uptodate.com/contents/dexamethasone-drug-information?source=see_link" TargetMode="External"/><Relationship Id="rId99" Type="http://schemas.openxmlformats.org/officeDocument/2006/relationships/hyperlink" Target="https://www.uptodate.com/contents/immune-thrombocytopenia-itp-in-adults-initial-treatment-and-prognosis/abstract/8,10" TargetMode="External"/><Relationship Id="rId101" Type="http://schemas.openxmlformats.org/officeDocument/2006/relationships/hyperlink" Target="https://www.uptodate.com/contents/image?imageKey=RHEUM%2F65998&amp;topicKey=HEME%2F6677&amp;rank=2%7E150&amp;source=see_link&amp;search=itp" TargetMode="External"/><Relationship Id="rId122" Type="http://schemas.openxmlformats.org/officeDocument/2006/relationships/hyperlink" Target="https://www.uptodate.com/contents/hemolytic-transfusion-reactions?source=see_link&amp;sectionName=ACUTE+HEMOLYTIC+REACTIONS&amp;anchor=H354742" TargetMode="External"/><Relationship Id="rId143" Type="http://schemas.openxmlformats.org/officeDocument/2006/relationships/hyperlink" Target="https://www.uptodate.com/contents/immune-thrombocytopenia-itp-in-adults-initial-treatment-and-prognosis?source=search_result&amp;search=itp&amp;selectedTitle=2~150" TargetMode="External"/><Relationship Id="rId148" Type="http://schemas.openxmlformats.org/officeDocument/2006/relationships/hyperlink" Target="https://www.uptodate.com/contents/immune-thrombocytopenia-itp-in-adults-initial-treatment-and-prognosis/abstract/51" TargetMode="External"/><Relationship Id="rId164" Type="http://schemas.openxmlformats.org/officeDocument/2006/relationships/hyperlink" Target="https://www.uptodate.com/contents/immune-thrombocytopenia-itp-in-adults-initial-treatment-and-prognosis/abstract/10" TargetMode="External"/><Relationship Id="rId169" Type="http://schemas.openxmlformats.org/officeDocument/2006/relationships/hyperlink" Target="https://www.uptodate.com/contents/immune-thrombocytopenia-itp-in-adults-initial-treatment-and-prognosis?source=search_result&amp;search=itp&amp;selectedTitle=2~150" TargetMode="External"/><Relationship Id="rId185" Type="http://schemas.openxmlformats.org/officeDocument/2006/relationships/hyperlink" Target="https://www.uptodate.com/contents/prednisone-drug-information?source=see_link" TargetMode="External"/><Relationship Id="rId4" Type="http://schemas.openxmlformats.org/officeDocument/2006/relationships/webSettings" Target="webSettings.xml"/><Relationship Id="rId9" Type="http://schemas.openxmlformats.org/officeDocument/2006/relationships/hyperlink" Target="https://www.uptodate.com/contents/immune-thrombocytopenia-itp-in-adults-initial-treatment-and-prognosis/contributor-disclosure" TargetMode="External"/><Relationship Id="rId180" Type="http://schemas.openxmlformats.org/officeDocument/2006/relationships/hyperlink" Target="https://www.uptodate.com/contents/immune-thrombocytopenia-itp-in-adults-initial-treatment-and-prognosis?source=search_result&amp;search=itp&amp;selectedTitle=2~150" TargetMode="External"/><Relationship Id="rId210" Type="http://schemas.openxmlformats.org/officeDocument/2006/relationships/hyperlink" Target="https://www.uptodate.com/contents/immune-thrombocytopenia-itp-in-adults-initial-treatment-and-prognosis/abstract/14" TargetMode="External"/><Relationship Id="rId215" Type="http://schemas.openxmlformats.org/officeDocument/2006/relationships/hyperlink" Target="https://www.uptodate.com/contents/immune-thrombocytopenia-itp-in-adults-initial-treatment-and-prognosis/abstract/19" TargetMode="External"/><Relationship Id="rId236" Type="http://schemas.openxmlformats.org/officeDocument/2006/relationships/hyperlink" Target="https://www.uptodate.com/contents/immune-thrombocytopenia-itp-in-adults-initial-treatment-and-prognosis/abstract/40" TargetMode="External"/><Relationship Id="rId257" Type="http://schemas.openxmlformats.org/officeDocument/2006/relationships/hyperlink" Target="https://www.uptodate.com/home/help" TargetMode="External"/><Relationship Id="rId26" Type="http://schemas.openxmlformats.org/officeDocument/2006/relationships/hyperlink" Target="https://www.uptodate.com/contents/immune-thrombocytopenia-itp-in-adults-initial-treatment-and-prognosis?source=search_result&amp;search=itp&amp;selectedTitle=2~150" TargetMode="External"/><Relationship Id="rId231" Type="http://schemas.openxmlformats.org/officeDocument/2006/relationships/hyperlink" Target="https://www.uptodate.com/contents/immune-thrombocytopenia-itp-in-adults-initial-treatment-and-prognosis/abstract/35" TargetMode="External"/><Relationship Id="rId252" Type="http://schemas.openxmlformats.org/officeDocument/2006/relationships/hyperlink" Target="https://www.uptodate.com/contents/immune-thrombocytopenia-itp-in-adults-initial-treatment-and-prognosis/abstract/58" TargetMode="External"/><Relationship Id="rId273" Type="http://schemas.openxmlformats.org/officeDocument/2006/relationships/theme" Target="theme/theme1.xml"/><Relationship Id="rId47" Type="http://schemas.openxmlformats.org/officeDocument/2006/relationships/hyperlink" Target="https://www.uptodate.com/external-redirect.do?target_url=http%3A%2F%2Fwww.ouhsc.edu%2Fplatelets%2FITP%2Fitp+patient+support+groups.html&amp;TOPIC_ID=6677" TargetMode="External"/><Relationship Id="rId68" Type="http://schemas.openxmlformats.org/officeDocument/2006/relationships/hyperlink" Target="https://www.uptodate.com/contents/thrombotic-and-hemorrhagic-disorders-due-to-abnormal-fibrinolysis?source=see_link&amp;sectionName=Tranexamic+acid+and+epsilon-aminocaproic+acid&amp;anchor=H32" TargetMode="External"/><Relationship Id="rId89" Type="http://schemas.openxmlformats.org/officeDocument/2006/relationships/hyperlink" Target="https://www.uptodate.com/contents/prednisone-drug-information?source=see_link" TargetMode="External"/><Relationship Id="rId112" Type="http://schemas.openxmlformats.org/officeDocument/2006/relationships/hyperlink" Target="https://www.uptodate.com/contents/intravenous-immune-globulin-adverse-effects?source=see_link" TargetMode="External"/><Relationship Id="rId133" Type="http://schemas.openxmlformats.org/officeDocument/2006/relationships/hyperlink" Target="https://www.uptodate.com/contents/immune-thrombocytopenia-itp-in-adults-initial-treatment-and-prognosis/abstract/50" TargetMode="External"/><Relationship Id="rId154" Type="http://schemas.openxmlformats.org/officeDocument/2006/relationships/hyperlink" Target="https://www.uptodate.com/contents/immune-thrombocytopenia-itp-in-adults-initial-treatment-and-prognosis/abstract/10" TargetMode="External"/><Relationship Id="rId175" Type="http://schemas.openxmlformats.org/officeDocument/2006/relationships/hyperlink" Target="https://www.uptodate.com/contents/grade/5?title=Grade%202B&amp;topicKey=HEME/6677" TargetMode="External"/><Relationship Id="rId196" Type="http://schemas.openxmlformats.org/officeDocument/2006/relationships/hyperlink" Target="https://www.uptodate.com/legal/license" TargetMode="External"/><Relationship Id="rId200" Type="http://schemas.openxmlformats.org/officeDocument/2006/relationships/hyperlink" Target="https://www.uptodate.com/contents/immune-thrombocytopenia-itp-in-adults-initial-treatment-and-prognosis/abstract/4" TargetMode="External"/><Relationship Id="rId16" Type="http://schemas.openxmlformats.org/officeDocument/2006/relationships/hyperlink" Target="https://www.uptodate.com/contents/immune-thrombocytopenia-itp-in-adults-clinical-manifestations-and-diagnosis?source=see_link" TargetMode="External"/><Relationship Id="rId221" Type="http://schemas.openxmlformats.org/officeDocument/2006/relationships/hyperlink" Target="https://www.uptodate.com/contents/immune-thrombocytopenia-itp-in-adults-initial-treatment-and-prognosis/abstract/25" TargetMode="External"/><Relationship Id="rId242" Type="http://schemas.openxmlformats.org/officeDocument/2006/relationships/hyperlink" Target="https://www.uptodate.com/contents/immune-thrombocytopenia-itp-in-adults-initial-treatment-and-prognosis/abstract/47" TargetMode="External"/><Relationship Id="rId263" Type="http://schemas.openxmlformats.org/officeDocument/2006/relationships/hyperlink" Target="http://www.wolterskluwerhealth.com/" TargetMode="External"/><Relationship Id="rId37" Type="http://schemas.openxmlformats.org/officeDocument/2006/relationships/hyperlink" Target="https://www.uptodate.com/contents/immune-thrombocytopenia-itp-in-adults-initial-treatment-and-prognosis/abstract/5,8-10" TargetMode="External"/><Relationship Id="rId58" Type="http://schemas.openxmlformats.org/officeDocument/2006/relationships/hyperlink" Target="https://www.uptodate.com/contents/immune-globulin-drug-information?source=see_link" TargetMode="External"/><Relationship Id="rId79" Type="http://schemas.openxmlformats.org/officeDocument/2006/relationships/hyperlink" Target="https://www.uptodate.com/contents/prednisone-drug-information?source=see_link" TargetMode="External"/><Relationship Id="rId102" Type="http://schemas.openxmlformats.org/officeDocument/2006/relationships/hyperlink" Target="https://www.uptodate.com/contents/immune-thrombocytopenia-itp-in-adults-initial-treatment-and-prognosis/abstract/30,31" TargetMode="External"/><Relationship Id="rId123" Type="http://schemas.openxmlformats.org/officeDocument/2006/relationships/hyperlink" Target="https://www.uptodate.com/contents/immune-thrombocytopenia-itp-in-adults-initial-treatment-and-prognosis/abstract/45" TargetMode="External"/><Relationship Id="rId144" Type="http://schemas.openxmlformats.org/officeDocument/2006/relationships/hyperlink" Target="https://www.uptodate.com/contents/immune-thrombocytopenia-itp-in-adults-initial-treatment-and-prognosis?source=search_result&amp;search=itp&amp;selectedTitle=2~150" TargetMode="External"/><Relationship Id="rId90" Type="http://schemas.openxmlformats.org/officeDocument/2006/relationships/hyperlink" Target="https://www.uptodate.com/contents/prednisone-drug-information?source=see_link" TargetMode="External"/><Relationship Id="rId165" Type="http://schemas.openxmlformats.org/officeDocument/2006/relationships/hyperlink" Target="https://www.uptodate.com/contents/immune-thrombocytopenia-itp-in-adults-initial-treatment-and-prognosis/abstract/8" TargetMode="External"/><Relationship Id="rId186" Type="http://schemas.openxmlformats.org/officeDocument/2006/relationships/hyperlink" Target="https://www.uptodate.com/contents/grade/5?title=Grade%202B&amp;topicKey=HEME/6677" TargetMode="External"/><Relationship Id="rId211" Type="http://schemas.openxmlformats.org/officeDocument/2006/relationships/hyperlink" Target="https://www.uptodate.com/contents/immune-thrombocytopenia-itp-in-adults-initial-treatment-and-prognosis/abstract/15" TargetMode="External"/><Relationship Id="rId232" Type="http://schemas.openxmlformats.org/officeDocument/2006/relationships/hyperlink" Target="https://www.uptodate.com/contents/immune-thrombocytopenia-itp-in-adults-initial-treatment-and-prognosis/abstract/36" TargetMode="External"/><Relationship Id="rId253" Type="http://schemas.openxmlformats.org/officeDocument/2006/relationships/hyperlink" Target="https://www.uptodate.com/index.html" TargetMode="External"/><Relationship Id="rId27" Type="http://schemas.openxmlformats.org/officeDocument/2006/relationships/hyperlink" Target="https://www.uptodate.com/contents/immune-thrombocytopenia-itp-in-adults-initial-treatment-and-prognosis/abstract/5" TargetMode="External"/><Relationship Id="rId48" Type="http://schemas.openxmlformats.org/officeDocument/2006/relationships/hyperlink" Target="https://www.uptodate.com/contents/image?imageKey=ID%2F82634&amp;topicKey=HEME%2F6677&amp;rank=2%7E150&amp;source=see_link&amp;search=itp" TargetMode="External"/><Relationship Id="rId69" Type="http://schemas.openxmlformats.org/officeDocument/2006/relationships/hyperlink" Target="https://www.uptodate.com/contents/immune-thrombocytopenia-itp-in-adults-initial-treatment-and-prognosis/abstract/21-23" TargetMode="External"/><Relationship Id="rId113" Type="http://schemas.openxmlformats.org/officeDocument/2006/relationships/hyperlink" Target="https://www.uptodate.com/contents/plasma-derivatives-and-recombinant-dna-produced-coagulation-factors?source=see_link&amp;sectionName=IMMUNE+GLOBULINS&amp;anchor=H7" TargetMode="External"/><Relationship Id="rId134" Type="http://schemas.openxmlformats.org/officeDocument/2006/relationships/hyperlink" Target="https://www.uptodate.com/contents/immune-thrombocytopenia-itp-in-adults-second-line-and-subsequent-therapies?source=see_link&amp;sectionName=THROMBOPOIETIN+RECEPTOR+AGONISTS&amp;anchor=H5" TargetMode="External"/><Relationship Id="rId80" Type="http://schemas.openxmlformats.org/officeDocument/2006/relationships/hyperlink" Target="https://www.uptodate.com/contents/prednisone-drug-information?source=see_link" TargetMode="External"/><Relationship Id="rId155" Type="http://schemas.openxmlformats.org/officeDocument/2006/relationships/hyperlink" Target="https://www.uptodate.com/contents/quinine-drug-information?source=see_link" TargetMode="External"/><Relationship Id="rId176" Type="http://schemas.openxmlformats.org/officeDocument/2006/relationships/hyperlink" Target="https://www.uptodate.com/contents/immune-thrombocytopenia-itp-in-adults-initial-treatment-and-prognosis?source=search_result&amp;search=itp&amp;selectedTitle=2~150" TargetMode="External"/><Relationship Id="rId197" Type="http://schemas.openxmlformats.org/officeDocument/2006/relationships/hyperlink" Target="https://www.uptodate.com/contents/immune-thrombocytopenia-itp-in-adults-initial-treatment-and-prognosis/abstract/1" TargetMode="External"/><Relationship Id="rId201" Type="http://schemas.openxmlformats.org/officeDocument/2006/relationships/hyperlink" Target="https://www.uptodate.com/contents/immune-thrombocytopenia-itp-in-adults-initial-treatment-and-prognosis/abstract/5" TargetMode="External"/><Relationship Id="rId222" Type="http://schemas.openxmlformats.org/officeDocument/2006/relationships/hyperlink" Target="https://www.uptodate.com/contents/immune-thrombocytopenia-itp-in-adults-initial-treatment-and-prognosis/abstract/26" TargetMode="External"/><Relationship Id="rId243" Type="http://schemas.openxmlformats.org/officeDocument/2006/relationships/hyperlink" Target="https://www.uptodate.com/contents/immune-thrombocytopenia-itp-in-adults-initial-treatment-and-prognosis/abstract/48" TargetMode="External"/><Relationship Id="rId264" Type="http://schemas.openxmlformats.org/officeDocument/2006/relationships/hyperlink" Target="http://www.factsandcomparisons.com/" TargetMode="External"/><Relationship Id="rId17" Type="http://schemas.openxmlformats.org/officeDocument/2006/relationships/hyperlink" Target="https://www.uptodate.com/contents/image?imageKey=HEME%2F73618&amp;topicKey=HEME%2F6677&amp;rank=2%7E150&amp;source=see_link&amp;search=itp" TargetMode="External"/><Relationship Id="rId38" Type="http://schemas.openxmlformats.org/officeDocument/2006/relationships/hyperlink" Target="https://www.uptodate.com/contents/immune-thrombocytopenia-itp-in-adults-initial-treatment-and-prognosis?source=search_result&amp;search=itp&amp;selectedTitle=2~150" TargetMode="External"/><Relationship Id="rId59" Type="http://schemas.openxmlformats.org/officeDocument/2006/relationships/hyperlink" Target="https://www.uptodate.com/contents/methylprednisolone-drug-information?source=see_link" TargetMode="External"/><Relationship Id="rId103" Type="http://schemas.openxmlformats.org/officeDocument/2006/relationships/hyperlink" Target="https://www.uptodate.com/contents/major-side-effects-of-systemic-glucocorticoids?source=see_link" TargetMode="External"/><Relationship Id="rId124" Type="http://schemas.openxmlformats.org/officeDocument/2006/relationships/hyperlink" Target="https://www.uptodate.com/contents/immune-thrombocytopenia-itp-in-adults-initial-treatment-and-prognosis/abstract/46" TargetMode="External"/><Relationship Id="rId70" Type="http://schemas.openxmlformats.org/officeDocument/2006/relationships/hyperlink" Target="https://www.uptodate.com/contents/methylprednisolone-drug-information?source=see_link" TargetMode="External"/><Relationship Id="rId91" Type="http://schemas.openxmlformats.org/officeDocument/2006/relationships/hyperlink" Target="https://www.uptodate.com/contents/dexamethasone-drug-information?source=see_link" TargetMode="External"/><Relationship Id="rId145" Type="http://schemas.openxmlformats.org/officeDocument/2006/relationships/hyperlink" Target="https://www.uptodate.com/contents/immune-thrombocytopenia-itp-in-adults-initial-treatment-and-prognosis/abstract/52" TargetMode="External"/><Relationship Id="rId166" Type="http://schemas.openxmlformats.org/officeDocument/2006/relationships/hyperlink" Target="https://www.uptodate.com/contents/immune-thrombocytopenia-itp-in-adults-initial-treatment-and-prognosis/abstract/57" TargetMode="External"/><Relationship Id="rId187" Type="http://schemas.openxmlformats.org/officeDocument/2006/relationships/hyperlink" Target="https://www.uptodate.com/contents/immune-thrombocytopenia-itp-in-adults-initial-treatment-and-prognosis?source=search_result&amp;search=itp&amp;selectedTitle=2~150" TargetMode="External"/><Relationship Id="rId1" Type="http://schemas.openxmlformats.org/officeDocument/2006/relationships/numbering" Target="numbering.xml"/><Relationship Id="rId212" Type="http://schemas.openxmlformats.org/officeDocument/2006/relationships/hyperlink" Target="https://www.uptodate.com/contents/immune-thrombocytopenia-itp-in-adults-initial-treatment-and-prognosis/abstract/16" TargetMode="External"/><Relationship Id="rId233" Type="http://schemas.openxmlformats.org/officeDocument/2006/relationships/hyperlink" Target="https://www.uptodate.com/contents/immune-thrombocytopenia-itp-in-adults-initial-treatment-and-prognosis/abstract/37" TargetMode="External"/><Relationship Id="rId254" Type="http://schemas.openxmlformats.org/officeDocument/2006/relationships/hyperlink" Target="https://www.uptodate.com/legal/license" TargetMode="External"/><Relationship Id="rId28" Type="http://schemas.openxmlformats.org/officeDocument/2006/relationships/hyperlink" Target="https://www.uptodate.com/contents/immune-thrombocytopenia-itp-in-adults-initial-treatment-and-prognosis/abstract/5" TargetMode="External"/><Relationship Id="rId49" Type="http://schemas.openxmlformats.org/officeDocument/2006/relationships/hyperlink" Target="https://www.uptodate.com/contents/image?imageKey=ID%2F62130&amp;topicKey=HEME%2F6677&amp;rank=2%7E150&amp;source=see_link&amp;search=itp" TargetMode="External"/><Relationship Id="rId114" Type="http://schemas.openxmlformats.org/officeDocument/2006/relationships/hyperlink" Target="https://www.uptodate.com/contents/rho-d-immune-globulin-drug-information?source=se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23</Pages>
  <Words>14703</Words>
  <Characters>83810</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dc:creator>
  <cp:keywords/>
  <dc:description/>
  <cp:lastModifiedBy>Craig</cp:lastModifiedBy>
  <cp:revision>1</cp:revision>
  <cp:lastPrinted>2017-12-03T01:15:00Z</cp:lastPrinted>
  <dcterms:created xsi:type="dcterms:W3CDTF">2017-12-03T01:13:00Z</dcterms:created>
  <dcterms:modified xsi:type="dcterms:W3CDTF">2017-12-03T18:08:00Z</dcterms:modified>
</cp:coreProperties>
</file>